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67DB" w:rsidRDefault="00A367DB" w:rsidP="000133BD">
      <w:pPr>
        <w:jc w:val="center"/>
        <w:rPr>
          <w:b/>
          <w:bCs/>
        </w:rPr>
      </w:pPr>
      <w:bookmarkStart w:id="0" w:name="_GoBack"/>
      <w:bookmarkEnd w:id="0"/>
    </w:p>
    <w:p w:rsidR="003C006C" w:rsidRPr="00CA5A45" w:rsidRDefault="003C006C" w:rsidP="000133BD">
      <w:pPr>
        <w:jc w:val="center"/>
        <w:rPr>
          <w:b/>
          <w:bCs/>
        </w:rPr>
      </w:pPr>
      <w:r w:rsidRPr="00CA5A45">
        <w:rPr>
          <w:b/>
          <w:bCs/>
        </w:rPr>
        <w:t>Nota a Confindustria</w:t>
      </w:r>
    </w:p>
    <w:p w:rsidR="003C006C" w:rsidRPr="00CA5A45" w:rsidRDefault="00F33649" w:rsidP="000133BD">
      <w:pPr>
        <w:jc w:val="center"/>
        <w:rPr>
          <w:b/>
          <w:bCs/>
        </w:rPr>
      </w:pPr>
      <w:r>
        <w:rPr>
          <w:b/>
          <w:bCs/>
        </w:rPr>
        <w:t>i</w:t>
      </w:r>
      <w:r w:rsidR="003C006C" w:rsidRPr="00CA5A45">
        <w:rPr>
          <w:b/>
          <w:bCs/>
        </w:rPr>
        <w:t>n materia di qualificazione e subappalto</w:t>
      </w:r>
    </w:p>
    <w:p w:rsidR="003C006C" w:rsidRPr="00A4157C" w:rsidRDefault="003C006C" w:rsidP="003C006C">
      <w:pPr>
        <w:jc w:val="both"/>
        <w:rPr>
          <w:bCs/>
        </w:rPr>
      </w:pPr>
    </w:p>
    <w:p w:rsidR="003C006C" w:rsidRDefault="003C006C" w:rsidP="003C006C">
      <w:pPr>
        <w:jc w:val="both"/>
        <w:rPr>
          <w:bCs/>
        </w:rPr>
      </w:pPr>
      <w:r w:rsidRPr="00A4157C">
        <w:rPr>
          <w:bCs/>
        </w:rPr>
        <w:t xml:space="preserve">La presente nota intende innanzitutto definire il perimetro normativo (direttiva 24/2014UE e DDL - Deleghe al Governo per l'attuazione delle direttive) entro cui ogni proposta dovrà contenersi. </w:t>
      </w:r>
    </w:p>
    <w:p w:rsidR="00E0335D" w:rsidRPr="00A4157C" w:rsidRDefault="00E0335D" w:rsidP="003C006C">
      <w:pPr>
        <w:jc w:val="both"/>
        <w:rPr>
          <w:bCs/>
        </w:rPr>
      </w:pPr>
      <w:r>
        <w:rPr>
          <w:bCs/>
        </w:rPr>
        <w:t>Come da Vs. richiesta la presente nota si limita ad esprimere la posizione delle imprese da noi rappresentate in materia di qualificazione e di subappalto.</w:t>
      </w:r>
    </w:p>
    <w:p w:rsidR="003C006C" w:rsidRDefault="003C006C" w:rsidP="003C006C">
      <w:pPr>
        <w:jc w:val="both"/>
        <w:rPr>
          <w:bCs/>
        </w:rPr>
      </w:pPr>
    </w:p>
    <w:p w:rsidR="000133BD" w:rsidRPr="000133BD" w:rsidRDefault="000133BD" w:rsidP="000133BD">
      <w:pPr>
        <w:jc w:val="center"/>
        <w:rPr>
          <w:b/>
          <w:bCs/>
        </w:rPr>
      </w:pPr>
      <w:r w:rsidRPr="000133BD">
        <w:rPr>
          <w:b/>
          <w:bCs/>
        </w:rPr>
        <w:t>QUALIFICAZIONE</w:t>
      </w:r>
    </w:p>
    <w:p w:rsidR="000133BD" w:rsidRDefault="000133BD" w:rsidP="003C006C">
      <w:pPr>
        <w:jc w:val="both"/>
        <w:rPr>
          <w:b/>
          <w:bCs/>
          <w:u w:val="single"/>
        </w:rPr>
      </w:pPr>
    </w:p>
    <w:p w:rsidR="003C006C" w:rsidRPr="006D4AE8" w:rsidRDefault="003C006C" w:rsidP="003C006C">
      <w:pPr>
        <w:jc w:val="both"/>
        <w:rPr>
          <w:rFonts w:ascii="Garamond" w:hAnsi="Garamond"/>
          <w:bCs/>
        </w:rPr>
      </w:pPr>
      <w:r w:rsidRPr="006D4AE8">
        <w:rPr>
          <w:rFonts w:ascii="Garamond" w:hAnsi="Garamond"/>
          <w:b/>
          <w:bCs/>
          <w:u w:val="single"/>
        </w:rPr>
        <w:t>In materia di qualificazione</w:t>
      </w:r>
      <w:r w:rsidRPr="006D4AE8">
        <w:rPr>
          <w:rFonts w:ascii="Garamond" w:hAnsi="Garamond"/>
          <w:bCs/>
        </w:rPr>
        <w:t>, i riferimenti sono quelli del considerando n. 78 e dell’articolo 58 della Direttiva e quelli contenuti all’art. 1, comma lettera uu), della legge delega.</w:t>
      </w:r>
    </w:p>
    <w:p w:rsidR="003C006C" w:rsidRPr="006D4AE8" w:rsidRDefault="003C006C" w:rsidP="003C006C">
      <w:pPr>
        <w:jc w:val="both"/>
        <w:rPr>
          <w:rFonts w:ascii="Garamond" w:hAnsi="Garamond"/>
          <w:bCs/>
        </w:rPr>
      </w:pPr>
      <w:r w:rsidRPr="006D4AE8">
        <w:rPr>
          <w:rFonts w:ascii="Garamond" w:hAnsi="Garamond"/>
          <w:b/>
          <w:bCs/>
        </w:rPr>
        <w:t>I principi contenuti nella direttiva sono</w:t>
      </w:r>
      <w:r w:rsidRPr="006D4AE8">
        <w:rPr>
          <w:rFonts w:ascii="Garamond" w:hAnsi="Garamond"/>
          <w:bCs/>
        </w:rPr>
        <w:t>, sostanzialmente i seguenti:</w:t>
      </w:r>
    </w:p>
    <w:p w:rsidR="003C006C" w:rsidRPr="006D4AE8" w:rsidRDefault="003C006C" w:rsidP="003C006C">
      <w:pPr>
        <w:pStyle w:val="Paragrafoelenco"/>
        <w:numPr>
          <w:ilvl w:val="0"/>
          <w:numId w:val="1"/>
        </w:numPr>
        <w:jc w:val="both"/>
        <w:rPr>
          <w:rFonts w:ascii="Garamond" w:hAnsi="Garamond"/>
        </w:rPr>
      </w:pPr>
      <w:r w:rsidRPr="006D4AE8">
        <w:rPr>
          <w:rFonts w:ascii="Garamond" w:hAnsi="Garamond"/>
          <w:bCs/>
        </w:rPr>
        <w:t xml:space="preserve">incentivare le amministrazioni a </w:t>
      </w:r>
      <w:r w:rsidRPr="006D4AE8">
        <w:rPr>
          <w:rFonts w:ascii="Garamond" w:hAnsi="Garamond"/>
          <w:b/>
          <w:bCs/>
        </w:rPr>
        <w:t>suddividere gli appalti in lotti al fine di incentivare la partecipazione delle piccole e medie imprese</w:t>
      </w:r>
      <w:r w:rsidRPr="006D4AE8">
        <w:rPr>
          <w:rFonts w:ascii="Garamond" w:hAnsi="Garamond"/>
          <w:bCs/>
        </w:rPr>
        <w:t>. “</w:t>
      </w:r>
      <w:r w:rsidRPr="006D4AE8">
        <w:rPr>
          <w:rFonts w:ascii="Garamond" w:hAnsi="Garamond"/>
          <w:b/>
          <w:i/>
        </w:rPr>
        <w:t>Tale suddivisione potrebbe essere effettuata su base</w:t>
      </w:r>
      <w:r w:rsidRPr="006D4AE8">
        <w:rPr>
          <w:rFonts w:ascii="Garamond" w:hAnsi="Garamond"/>
          <w:i/>
        </w:rPr>
        <w:t xml:space="preserve"> quantitativa, facendo in modo che l’entità dei singoli appalti corrisponda meglio alla capacità delle PMI, o su base </w:t>
      </w:r>
      <w:r w:rsidRPr="006D4AE8">
        <w:rPr>
          <w:rFonts w:ascii="Garamond" w:hAnsi="Garamond"/>
          <w:b/>
          <w:i/>
        </w:rPr>
        <w:t>qualitativa, in conformità alle varie categorie e specializzazioni presenti, per adattare meglio il contenuto dei singoli appalti ai settori specializzati delle PMI</w:t>
      </w:r>
      <w:r w:rsidRPr="006D4AE8">
        <w:rPr>
          <w:rFonts w:ascii="Garamond" w:hAnsi="Garamond"/>
        </w:rPr>
        <w:t>” (considerando 78);</w:t>
      </w:r>
    </w:p>
    <w:p w:rsidR="003C006C" w:rsidRPr="006D4AE8" w:rsidRDefault="003C006C" w:rsidP="003C006C">
      <w:pPr>
        <w:pStyle w:val="Paragrafoelenco"/>
        <w:numPr>
          <w:ilvl w:val="0"/>
          <w:numId w:val="1"/>
        </w:numPr>
        <w:jc w:val="both"/>
        <w:rPr>
          <w:rFonts w:ascii="Garamond" w:hAnsi="Garamond"/>
        </w:rPr>
      </w:pPr>
      <w:r w:rsidRPr="006D4AE8">
        <w:rPr>
          <w:rFonts w:ascii="Garamond" w:hAnsi="Garamond"/>
        </w:rPr>
        <w:t>“</w:t>
      </w:r>
      <w:r w:rsidRPr="006D4AE8">
        <w:rPr>
          <w:rFonts w:ascii="Garamond" w:hAnsi="Garamond"/>
          <w:i/>
        </w:rPr>
        <w:t xml:space="preserve">Le amministrazioni aggiudicatrici limitano i </w:t>
      </w:r>
      <w:r w:rsidRPr="006D4AE8">
        <w:rPr>
          <w:rFonts w:ascii="Garamond" w:hAnsi="Garamond"/>
          <w:b/>
          <w:i/>
        </w:rPr>
        <w:t>requisiti</w:t>
      </w:r>
      <w:r w:rsidRPr="006D4AE8">
        <w:rPr>
          <w:rFonts w:ascii="Garamond" w:hAnsi="Garamond"/>
          <w:i/>
        </w:rPr>
        <w:t xml:space="preserve"> a quelli </w:t>
      </w:r>
      <w:r w:rsidRPr="006D4AE8">
        <w:rPr>
          <w:rFonts w:ascii="Garamond" w:hAnsi="Garamond"/>
          <w:b/>
          <w:i/>
        </w:rPr>
        <w:t>adeguati per assicurare che un candidato o un offerente abbia la capacità giuridica e finanziaria e le competenze tecniche e professionali necessarie per eseguire l’appalto da aggiudicare</w:t>
      </w:r>
      <w:r w:rsidRPr="006D4AE8">
        <w:rPr>
          <w:rFonts w:ascii="Garamond" w:hAnsi="Garamond"/>
          <w:i/>
        </w:rPr>
        <w:t>. Tutti i requisiti sono attinenti e proporzionati all’oggetto dell’appalto</w:t>
      </w:r>
      <w:r w:rsidRPr="006D4AE8">
        <w:rPr>
          <w:rFonts w:ascii="Garamond" w:hAnsi="Garamond"/>
        </w:rPr>
        <w:t>”. (art. 58, comma 1)</w:t>
      </w:r>
    </w:p>
    <w:p w:rsidR="003C006C" w:rsidRPr="006D4AE8" w:rsidRDefault="003C006C" w:rsidP="003C006C">
      <w:pPr>
        <w:pStyle w:val="Paragrafoelenco"/>
        <w:numPr>
          <w:ilvl w:val="0"/>
          <w:numId w:val="1"/>
        </w:numPr>
        <w:jc w:val="both"/>
        <w:rPr>
          <w:rFonts w:ascii="Garamond" w:hAnsi="Garamond"/>
        </w:rPr>
      </w:pPr>
      <w:r w:rsidRPr="006D4AE8">
        <w:rPr>
          <w:rFonts w:ascii="Garamond" w:hAnsi="Garamond"/>
        </w:rPr>
        <w:t>“</w:t>
      </w:r>
      <w:r w:rsidRPr="006D4AE8">
        <w:rPr>
          <w:rFonts w:ascii="Garamond" w:hAnsi="Garamond"/>
          <w:i/>
        </w:rPr>
        <w:t xml:space="preserve">Per quanto riguarda la capacità economica e finanziaria, le amministrazioni aggiudicatrici possono imporre requisiti per garantire che gli operatori economici possiedano la </w:t>
      </w:r>
      <w:r w:rsidRPr="006D4AE8">
        <w:rPr>
          <w:rFonts w:ascii="Garamond" w:hAnsi="Garamond"/>
          <w:b/>
          <w:i/>
        </w:rPr>
        <w:t>capacità economica e finanziaria necessaria per eseguire l’appalto</w:t>
      </w:r>
      <w:r w:rsidRPr="006D4AE8">
        <w:rPr>
          <w:rFonts w:ascii="Garamond" w:hAnsi="Garamond"/>
        </w:rPr>
        <w:t>”. (art. 58, comma 3)</w:t>
      </w:r>
    </w:p>
    <w:p w:rsidR="003C006C" w:rsidRPr="006D4AE8" w:rsidRDefault="003C006C" w:rsidP="003C006C">
      <w:pPr>
        <w:pStyle w:val="Paragrafoelenco"/>
        <w:numPr>
          <w:ilvl w:val="0"/>
          <w:numId w:val="1"/>
        </w:numPr>
        <w:jc w:val="both"/>
        <w:rPr>
          <w:rFonts w:ascii="Garamond" w:hAnsi="Garamond"/>
        </w:rPr>
      </w:pPr>
      <w:r w:rsidRPr="006D4AE8">
        <w:rPr>
          <w:rFonts w:ascii="Garamond" w:hAnsi="Garamond"/>
        </w:rPr>
        <w:t>“</w:t>
      </w:r>
      <w:r w:rsidRPr="006D4AE8">
        <w:rPr>
          <w:rFonts w:ascii="Garamond" w:hAnsi="Garamond"/>
          <w:i/>
        </w:rPr>
        <w:t xml:space="preserve">Per quanto riguarda le </w:t>
      </w:r>
      <w:r w:rsidRPr="006D4AE8">
        <w:rPr>
          <w:rFonts w:ascii="Garamond" w:hAnsi="Garamond"/>
          <w:b/>
          <w:i/>
        </w:rPr>
        <w:t>capacità tecniche e professionali</w:t>
      </w:r>
      <w:r w:rsidRPr="006D4AE8">
        <w:rPr>
          <w:rFonts w:ascii="Garamond" w:hAnsi="Garamond"/>
          <w:i/>
        </w:rPr>
        <w:t xml:space="preserve">, le amministrazioni aggiudicatrici possono imporre requisiti </w:t>
      </w:r>
      <w:r w:rsidRPr="006D4AE8">
        <w:rPr>
          <w:rFonts w:ascii="Garamond" w:hAnsi="Garamond"/>
          <w:b/>
          <w:i/>
        </w:rPr>
        <w:t>per garantire che gli operatori economici possiedano le risorse umane e tecniche e l’esperienza necessarie per eseguire l’appalto con un adeguato standard di qualità</w:t>
      </w:r>
      <w:r w:rsidRPr="006D4AE8">
        <w:rPr>
          <w:rFonts w:ascii="Garamond" w:hAnsi="Garamond"/>
          <w:i/>
        </w:rPr>
        <w:t xml:space="preserve">.  Le amministrazioni aggiudicatrici possono esigere, in particolare, </w:t>
      </w:r>
      <w:r w:rsidRPr="006D4AE8">
        <w:rPr>
          <w:rFonts w:ascii="Garamond" w:hAnsi="Garamond"/>
          <w:b/>
          <w:i/>
        </w:rPr>
        <w:t>che gli operatori economici dispongano di un livello sufficiente di esperienza comprovato da opportune referenze relative a contratti eseguiti in precedenza</w:t>
      </w:r>
      <w:r w:rsidRPr="006D4AE8">
        <w:rPr>
          <w:rFonts w:ascii="Garamond" w:hAnsi="Garamond"/>
        </w:rPr>
        <w:t>”. (art. 58, comma 4)</w:t>
      </w:r>
    </w:p>
    <w:p w:rsidR="003C006C" w:rsidRPr="006D4AE8" w:rsidRDefault="00520E06" w:rsidP="003C006C">
      <w:pPr>
        <w:jc w:val="both"/>
        <w:rPr>
          <w:rFonts w:ascii="Garamond" w:hAnsi="Garamond"/>
        </w:rPr>
      </w:pPr>
      <w:r w:rsidRPr="006D4AE8">
        <w:rPr>
          <w:rFonts w:ascii="Garamond" w:hAnsi="Garamond"/>
          <w:b/>
        </w:rPr>
        <w:t>I</w:t>
      </w:r>
      <w:r w:rsidR="003C006C" w:rsidRPr="006D4AE8">
        <w:rPr>
          <w:rFonts w:ascii="Garamond" w:hAnsi="Garamond"/>
          <w:b/>
          <w:bCs/>
        </w:rPr>
        <w:t xml:space="preserve"> principi contenuti nella legge delega sono</w:t>
      </w:r>
      <w:r w:rsidR="003C006C" w:rsidRPr="006D4AE8">
        <w:rPr>
          <w:rFonts w:ascii="Garamond" w:hAnsi="Garamond"/>
          <w:bCs/>
        </w:rPr>
        <w:t>, sostanzialmente i seguenti:</w:t>
      </w:r>
    </w:p>
    <w:p w:rsidR="00D802FA" w:rsidRDefault="00D802FA" w:rsidP="00D802FA">
      <w:pPr>
        <w:pStyle w:val="Paragrafoelenco"/>
        <w:numPr>
          <w:ilvl w:val="0"/>
          <w:numId w:val="2"/>
        </w:numPr>
        <w:jc w:val="both"/>
        <w:rPr>
          <w:rFonts w:ascii="Garamond" w:hAnsi="Garamond"/>
        </w:rPr>
      </w:pPr>
      <w:r>
        <w:rPr>
          <w:rFonts w:ascii="Garamond" w:hAnsi="Garamond"/>
        </w:rPr>
        <w:t>“</w:t>
      </w:r>
      <w:r w:rsidRPr="00D802FA">
        <w:rPr>
          <w:rFonts w:ascii="Garamond" w:hAnsi="Garamond"/>
          <w:b/>
          <w:i/>
        </w:rPr>
        <w:t>definizione dei requisiti di capacità economico-finanziaria, tecnica, ivi compresa quella organizzativa, e professionale, attinenti e proporzionati all’oggetto dell’appalto</w:t>
      </w:r>
      <w:r w:rsidRPr="00D802FA">
        <w:rPr>
          <w:rFonts w:ascii="Garamond" w:hAnsi="Garamond"/>
          <w:i/>
        </w:rPr>
        <w:t>, che gli operatori economici devono possedere per partecipare alle procedure di gara</w:t>
      </w:r>
      <w:r>
        <w:rPr>
          <w:rFonts w:ascii="Garamond" w:hAnsi="Garamond"/>
        </w:rPr>
        <w:t>”</w:t>
      </w:r>
      <w:r w:rsidR="00573F60">
        <w:rPr>
          <w:rFonts w:ascii="Garamond" w:hAnsi="Garamond"/>
        </w:rPr>
        <w:t xml:space="preserve"> (art. 1, comma 1 lettera r)</w:t>
      </w:r>
    </w:p>
    <w:p w:rsidR="003C006C" w:rsidRPr="006D4AE8" w:rsidRDefault="00D802FA" w:rsidP="00D802FA">
      <w:pPr>
        <w:pStyle w:val="Paragrafoelenco"/>
        <w:numPr>
          <w:ilvl w:val="0"/>
          <w:numId w:val="2"/>
        </w:numPr>
        <w:jc w:val="both"/>
        <w:rPr>
          <w:rFonts w:ascii="Garamond" w:hAnsi="Garamond"/>
        </w:rPr>
      </w:pPr>
      <w:r w:rsidRPr="006D4AE8">
        <w:rPr>
          <w:rFonts w:ascii="Garamond" w:hAnsi="Garamond"/>
        </w:rPr>
        <w:t xml:space="preserve"> </w:t>
      </w:r>
      <w:r w:rsidR="003C006C" w:rsidRPr="006D4AE8">
        <w:rPr>
          <w:rFonts w:ascii="Garamond" w:hAnsi="Garamond"/>
        </w:rPr>
        <w:t>“</w:t>
      </w:r>
      <w:r w:rsidR="003C006C" w:rsidRPr="006D4AE8">
        <w:rPr>
          <w:rFonts w:ascii="Garamond" w:hAnsi="Garamond"/>
          <w:i/>
        </w:rPr>
        <w:t xml:space="preserve">revisione del vigente sistema di qualificazione degli operatori economici in base a criteri di omogeneità, trasparenza e </w:t>
      </w:r>
      <w:r w:rsidR="003C006C" w:rsidRPr="006D4AE8">
        <w:rPr>
          <w:rFonts w:ascii="Garamond" w:hAnsi="Garamond"/>
          <w:b/>
          <w:i/>
        </w:rPr>
        <w:t xml:space="preserve">verifica </w:t>
      </w:r>
      <w:r w:rsidR="003C006C" w:rsidRPr="006D4AE8">
        <w:rPr>
          <w:rFonts w:ascii="Garamond" w:hAnsi="Garamond"/>
          <w:b/>
          <w:bCs/>
          <w:i/>
        </w:rPr>
        <w:t xml:space="preserve">formale e sostanziale </w:t>
      </w:r>
      <w:r w:rsidR="003C006C" w:rsidRPr="006D4AE8">
        <w:rPr>
          <w:rFonts w:ascii="Garamond" w:hAnsi="Garamond"/>
          <w:b/>
          <w:i/>
        </w:rPr>
        <w:t>delle capacità realizzative, delle competenze tecniche e professionali</w:t>
      </w:r>
      <w:r w:rsidR="003C006C" w:rsidRPr="006D4AE8">
        <w:rPr>
          <w:rFonts w:ascii="Garamond" w:hAnsi="Garamond"/>
          <w:b/>
          <w:bCs/>
          <w:i/>
        </w:rPr>
        <w:t xml:space="preserve">, ivi comprese le risorse umane, </w:t>
      </w:r>
      <w:r w:rsidR="003C006C" w:rsidRPr="006D4AE8">
        <w:rPr>
          <w:rFonts w:ascii="Garamond" w:hAnsi="Garamond"/>
          <w:b/>
          <w:i/>
        </w:rPr>
        <w:t>organiche all’impresa, nonché delle attività effettivamente eseguite</w:t>
      </w:r>
      <w:r w:rsidR="003C006C" w:rsidRPr="006D4AE8">
        <w:rPr>
          <w:rFonts w:ascii="Garamond" w:hAnsi="Garamond"/>
        </w:rPr>
        <w:t>”…</w:t>
      </w:r>
      <w:r w:rsidR="00573F60">
        <w:rPr>
          <w:rFonts w:ascii="Garamond" w:hAnsi="Garamond"/>
        </w:rPr>
        <w:t xml:space="preserve"> (art. 1, comma 1 lettera uu)</w:t>
      </w:r>
    </w:p>
    <w:p w:rsidR="000133BD" w:rsidRPr="00A4157C" w:rsidRDefault="000133BD" w:rsidP="000133BD">
      <w:pPr>
        <w:jc w:val="both"/>
      </w:pPr>
    </w:p>
    <w:p w:rsidR="000133BD" w:rsidRPr="006D4AE8" w:rsidRDefault="000133BD" w:rsidP="003C006C">
      <w:pPr>
        <w:jc w:val="both"/>
        <w:rPr>
          <w:b/>
          <w:bCs/>
        </w:rPr>
      </w:pPr>
      <w:r w:rsidRPr="006D4AE8">
        <w:rPr>
          <w:b/>
          <w:bCs/>
        </w:rPr>
        <w:t>Proposta</w:t>
      </w:r>
    </w:p>
    <w:p w:rsidR="00871283" w:rsidRPr="006D4AE8" w:rsidRDefault="00871283" w:rsidP="003C006C">
      <w:pPr>
        <w:jc w:val="both"/>
        <w:rPr>
          <w:bCs/>
        </w:rPr>
      </w:pPr>
      <w:r w:rsidRPr="006D4AE8">
        <w:rPr>
          <w:bCs/>
        </w:rPr>
        <w:t xml:space="preserve">La scelta fatta dal legislatore di mantenere il sistema di </w:t>
      </w:r>
      <w:r w:rsidRPr="006D4AE8">
        <w:rPr>
          <w:b/>
          <w:bCs/>
        </w:rPr>
        <w:t>qualificazione SOA</w:t>
      </w:r>
      <w:r w:rsidRPr="006D4AE8">
        <w:rPr>
          <w:bCs/>
        </w:rPr>
        <w:t xml:space="preserve">, a nostro avviso, dovrà prevedere una profonda </w:t>
      </w:r>
      <w:r w:rsidRPr="006D4AE8">
        <w:rPr>
          <w:b/>
          <w:bCs/>
        </w:rPr>
        <w:t xml:space="preserve">revisione dei criteri utilizzati, affiancando agli attuali </w:t>
      </w:r>
      <w:r w:rsidR="00EE4333" w:rsidRPr="006D4AE8">
        <w:rPr>
          <w:b/>
          <w:bCs/>
        </w:rPr>
        <w:t>paramet</w:t>
      </w:r>
      <w:r w:rsidRPr="006D4AE8">
        <w:rPr>
          <w:b/>
          <w:bCs/>
        </w:rPr>
        <w:t>ri legati ai dati di bilancio una più stringente valutazione delle capacità realizzative, delle competenze tecniche e professionali con particolare riguardo alle risorse umane, organiche all’impresa</w:t>
      </w:r>
      <w:r w:rsidRPr="006D4AE8">
        <w:rPr>
          <w:bCs/>
        </w:rPr>
        <w:t xml:space="preserve">. In tale ottica e in considerazione del periodo congiunturale sarebbe opportuno </w:t>
      </w:r>
      <w:r w:rsidR="00EE4333" w:rsidRPr="006D4AE8">
        <w:rPr>
          <w:bCs/>
        </w:rPr>
        <w:t xml:space="preserve">attivare un meccanismo che attraverso una </w:t>
      </w:r>
      <w:r w:rsidR="00EE4333" w:rsidRPr="006D4AE8">
        <w:rPr>
          <w:b/>
          <w:bCs/>
        </w:rPr>
        <w:t xml:space="preserve">premialità legata al possesso di requisiti reputazionali consenta di attenuare l’impatto dei requisiti </w:t>
      </w:r>
      <w:r w:rsidR="00E0335D" w:rsidRPr="006D4AE8">
        <w:rPr>
          <w:b/>
          <w:bCs/>
        </w:rPr>
        <w:t>di bilancio</w:t>
      </w:r>
      <w:r w:rsidR="00EE4333" w:rsidRPr="006D4AE8">
        <w:rPr>
          <w:bCs/>
        </w:rPr>
        <w:t xml:space="preserve"> sulla qualificazione.</w:t>
      </w:r>
    </w:p>
    <w:p w:rsidR="00E0335D" w:rsidRPr="006D4AE8" w:rsidRDefault="00E0335D" w:rsidP="003C006C">
      <w:pPr>
        <w:jc w:val="both"/>
        <w:rPr>
          <w:bCs/>
        </w:rPr>
      </w:pPr>
      <w:r w:rsidRPr="006D4AE8">
        <w:rPr>
          <w:bCs/>
        </w:rPr>
        <w:lastRenderedPageBreak/>
        <w:t>E’ inoltre necessaria una revisione delle categorie SOA che tenga conto del</w:t>
      </w:r>
      <w:r w:rsidR="003E5C64">
        <w:rPr>
          <w:bCs/>
        </w:rPr>
        <w:t>lo sviluppo di nuove tecnologie e della necessità di adeguarsi alle crescenti esigenze ambientali, energetiche e di sicurezza.</w:t>
      </w:r>
    </w:p>
    <w:p w:rsidR="003C006C" w:rsidRPr="006D4AE8" w:rsidRDefault="003C006C" w:rsidP="003C006C">
      <w:pPr>
        <w:jc w:val="both"/>
        <w:rPr>
          <w:bCs/>
        </w:rPr>
      </w:pPr>
      <w:r w:rsidRPr="006D4AE8">
        <w:rPr>
          <w:bCs/>
        </w:rPr>
        <w:t>Ambedue le fonti</w:t>
      </w:r>
      <w:r w:rsidR="00EE4333" w:rsidRPr="006D4AE8">
        <w:rPr>
          <w:bCs/>
        </w:rPr>
        <w:t xml:space="preserve"> normative</w:t>
      </w:r>
      <w:r w:rsidRPr="006D4AE8">
        <w:rPr>
          <w:bCs/>
        </w:rPr>
        <w:t xml:space="preserve"> non forniscono</w:t>
      </w:r>
      <w:r w:rsidR="00EE4333" w:rsidRPr="006D4AE8">
        <w:rPr>
          <w:bCs/>
        </w:rPr>
        <w:t>, poi,</w:t>
      </w:r>
      <w:r w:rsidRPr="006D4AE8">
        <w:rPr>
          <w:bCs/>
        </w:rPr>
        <w:t xml:space="preserve"> alcuna indicazione circa la necessità di individuare “</w:t>
      </w:r>
      <w:r w:rsidRPr="006D4AE8">
        <w:rPr>
          <w:bCs/>
          <w:i/>
        </w:rPr>
        <w:t>categorie prevalenti</w:t>
      </w:r>
      <w:r w:rsidRPr="006D4AE8">
        <w:rPr>
          <w:bCs/>
        </w:rPr>
        <w:t>” ed “</w:t>
      </w:r>
      <w:r w:rsidRPr="006D4AE8">
        <w:rPr>
          <w:bCs/>
          <w:i/>
        </w:rPr>
        <w:t>opere scorporabili</w:t>
      </w:r>
      <w:r w:rsidRPr="006D4AE8">
        <w:rPr>
          <w:bCs/>
        </w:rPr>
        <w:t>”, due definizioni retaggio di vecchie impostazioni normative adeguate a tempi in cui per la realizzazione delle opere pubbliche non erano, generalmente, richieste particolari capacità professionali.</w:t>
      </w:r>
    </w:p>
    <w:p w:rsidR="003C006C" w:rsidRPr="006D4AE8" w:rsidRDefault="003C006C" w:rsidP="003C006C">
      <w:pPr>
        <w:jc w:val="both"/>
        <w:rPr>
          <w:bCs/>
        </w:rPr>
      </w:pPr>
      <w:r w:rsidRPr="006D4AE8">
        <w:rPr>
          <w:bCs/>
        </w:rPr>
        <w:t xml:space="preserve">A nostro avviso, negli appalti pubblici di lavori, </w:t>
      </w:r>
      <w:r w:rsidRPr="006D4AE8">
        <w:rPr>
          <w:b/>
          <w:bCs/>
        </w:rPr>
        <w:t xml:space="preserve">l’operatore economico concorrente dovrà dimostrare di </w:t>
      </w:r>
      <w:r w:rsidR="00EE4333" w:rsidRPr="006D4AE8">
        <w:rPr>
          <w:b/>
          <w:bCs/>
        </w:rPr>
        <w:t>possedere la qualificazione SOA</w:t>
      </w:r>
      <w:r w:rsidRPr="006D4AE8">
        <w:rPr>
          <w:b/>
          <w:bCs/>
        </w:rPr>
        <w:t xml:space="preserve"> per tutte quelle lavorazioni che abbiano una significativa incidenza sull’importo complessivo delle opere, pari ad almeno il 1</w:t>
      </w:r>
      <w:r w:rsidR="003E5C64">
        <w:rPr>
          <w:b/>
          <w:bCs/>
        </w:rPr>
        <w:t>5</w:t>
      </w:r>
      <w:r w:rsidRPr="006D4AE8">
        <w:rPr>
          <w:b/>
          <w:bCs/>
        </w:rPr>
        <w:t>% del valore complessivo della gara</w:t>
      </w:r>
      <w:r w:rsidRPr="006D4AE8">
        <w:rPr>
          <w:bCs/>
        </w:rPr>
        <w:t>.</w:t>
      </w:r>
    </w:p>
    <w:p w:rsidR="003C006C" w:rsidRPr="006D4AE8" w:rsidRDefault="003C006C" w:rsidP="003C006C">
      <w:pPr>
        <w:jc w:val="both"/>
        <w:rPr>
          <w:bCs/>
        </w:rPr>
      </w:pPr>
      <w:r w:rsidRPr="006D4AE8">
        <w:rPr>
          <w:bCs/>
        </w:rPr>
        <w:t>Laddove il singolo operatore economico non sia in possesso delle qualificazioni richieste potrà associarsi con uno o più operatori per soddisfare i requisiti richiesti.</w:t>
      </w:r>
    </w:p>
    <w:p w:rsidR="003C006C" w:rsidRPr="006D4AE8" w:rsidRDefault="003C006C" w:rsidP="003C006C">
      <w:pPr>
        <w:jc w:val="both"/>
        <w:rPr>
          <w:bCs/>
        </w:rPr>
      </w:pPr>
      <w:r w:rsidRPr="006D4AE8">
        <w:rPr>
          <w:bCs/>
        </w:rPr>
        <w:t xml:space="preserve">Al fine di rendere più semplice la partecipazione alle gare d’appalto, </w:t>
      </w:r>
      <w:r w:rsidRPr="006D4AE8">
        <w:rPr>
          <w:b/>
          <w:bCs/>
        </w:rPr>
        <w:t>alcune categorie di lavori, la cui esecuzione non richieda particolari professionalità o sia fungibile utilizzando noli a caldo, potranno essere assunte dall’operatore economico partecipante, in possesso dei requisiti per le altre categorie e per importo adeguato</w:t>
      </w:r>
      <w:r w:rsidRPr="006D4AE8">
        <w:rPr>
          <w:bCs/>
        </w:rPr>
        <w:t>. Tali categorie, in via del tutto esemplificativa potrebbero essere:</w:t>
      </w:r>
    </w:p>
    <w:p w:rsidR="003C006C" w:rsidRPr="006D4AE8" w:rsidRDefault="003C006C" w:rsidP="003C006C">
      <w:pPr>
        <w:pStyle w:val="Paragrafoelenco"/>
        <w:numPr>
          <w:ilvl w:val="0"/>
          <w:numId w:val="3"/>
        </w:numPr>
        <w:jc w:val="both"/>
        <w:rPr>
          <w:b/>
          <w:bCs/>
        </w:rPr>
      </w:pPr>
      <w:r w:rsidRPr="006D4AE8">
        <w:rPr>
          <w:b/>
          <w:bCs/>
        </w:rPr>
        <w:t>lavori di scavo e perforazione;</w:t>
      </w:r>
    </w:p>
    <w:p w:rsidR="003C006C" w:rsidRPr="006D4AE8" w:rsidRDefault="003C006C" w:rsidP="003C006C">
      <w:pPr>
        <w:pStyle w:val="Paragrafoelenco"/>
        <w:numPr>
          <w:ilvl w:val="0"/>
          <w:numId w:val="3"/>
        </w:numPr>
        <w:jc w:val="both"/>
        <w:rPr>
          <w:b/>
          <w:bCs/>
        </w:rPr>
      </w:pPr>
      <w:r w:rsidRPr="006D4AE8">
        <w:rPr>
          <w:b/>
          <w:bCs/>
        </w:rPr>
        <w:t>lavori di impermeabilizzazione;</w:t>
      </w:r>
    </w:p>
    <w:p w:rsidR="003C006C" w:rsidRPr="006D4AE8" w:rsidRDefault="003C006C" w:rsidP="003C006C">
      <w:pPr>
        <w:pStyle w:val="Paragrafoelenco"/>
        <w:numPr>
          <w:ilvl w:val="0"/>
          <w:numId w:val="3"/>
        </w:numPr>
        <w:jc w:val="both"/>
        <w:rPr>
          <w:b/>
          <w:bCs/>
        </w:rPr>
      </w:pPr>
      <w:r w:rsidRPr="006D4AE8">
        <w:rPr>
          <w:b/>
          <w:bCs/>
        </w:rPr>
        <w:t>lavori di finitura edile (intonaci, rivestimenti e tinteggiature);</w:t>
      </w:r>
    </w:p>
    <w:p w:rsidR="003C006C" w:rsidRPr="006D4AE8" w:rsidRDefault="003C006C" w:rsidP="003C006C">
      <w:pPr>
        <w:pStyle w:val="Paragrafoelenco"/>
        <w:numPr>
          <w:ilvl w:val="0"/>
          <w:numId w:val="3"/>
        </w:numPr>
        <w:jc w:val="both"/>
        <w:rPr>
          <w:b/>
          <w:bCs/>
        </w:rPr>
      </w:pPr>
      <w:r w:rsidRPr="006D4AE8">
        <w:rPr>
          <w:b/>
          <w:bCs/>
        </w:rPr>
        <w:t>lavori di muratura non strutturali.</w:t>
      </w:r>
    </w:p>
    <w:p w:rsidR="000133BD" w:rsidRPr="006D4AE8" w:rsidRDefault="00EE4333" w:rsidP="002B5339">
      <w:pPr>
        <w:jc w:val="both"/>
        <w:rPr>
          <w:bCs/>
        </w:rPr>
      </w:pPr>
      <w:r w:rsidRPr="006D4AE8">
        <w:rPr>
          <w:bCs/>
        </w:rPr>
        <w:t xml:space="preserve">Sarebbe, inoltre, opportuno </w:t>
      </w:r>
      <w:r w:rsidR="00B3113D" w:rsidRPr="006D4AE8">
        <w:rPr>
          <w:bCs/>
        </w:rPr>
        <w:t>prevedere tipologie di lavori per cui sia utilizzabile</w:t>
      </w:r>
      <w:r w:rsidRPr="006D4AE8">
        <w:rPr>
          <w:bCs/>
        </w:rPr>
        <w:t xml:space="preserve"> il criterio di suddivisione in lotti </w:t>
      </w:r>
      <w:r w:rsidR="00B3113D" w:rsidRPr="006D4AE8">
        <w:rPr>
          <w:bCs/>
        </w:rPr>
        <w:t>su base qualitativa, in conformità alle varie categorie e specializzazioni presenti, per adattare meglio il contenuto dei singoli appalti ai settori specializzati delle PMI.</w:t>
      </w:r>
    </w:p>
    <w:p w:rsidR="00EE4333" w:rsidRPr="006D4AE8" w:rsidRDefault="00B3113D" w:rsidP="002B5339">
      <w:pPr>
        <w:jc w:val="both"/>
        <w:rPr>
          <w:bCs/>
        </w:rPr>
      </w:pPr>
      <w:r w:rsidRPr="006D4AE8">
        <w:rPr>
          <w:bCs/>
        </w:rPr>
        <w:t>Stante l’inconsistenza dei risultati ad oggi rilevabili, l’intera legislazione in materia di “</w:t>
      </w:r>
      <w:r w:rsidRPr="006D4AE8">
        <w:rPr>
          <w:bCs/>
          <w:i/>
        </w:rPr>
        <w:t>grandi opere</w:t>
      </w:r>
      <w:r w:rsidRPr="006D4AE8">
        <w:rPr>
          <w:bCs/>
        </w:rPr>
        <w:t>” e “</w:t>
      </w:r>
      <w:r w:rsidRPr="006D4AE8">
        <w:rPr>
          <w:bCs/>
          <w:i/>
        </w:rPr>
        <w:t>general contractor</w:t>
      </w:r>
      <w:r w:rsidRPr="006D4AE8">
        <w:rPr>
          <w:bCs/>
        </w:rPr>
        <w:t xml:space="preserve">” non ha ragione d’essere e dovrà essere abrogata. </w:t>
      </w:r>
    </w:p>
    <w:p w:rsidR="00B3113D" w:rsidRPr="002B5339" w:rsidRDefault="00B3113D" w:rsidP="002B5339">
      <w:pPr>
        <w:jc w:val="both"/>
        <w:rPr>
          <w:b/>
          <w:bCs/>
        </w:rPr>
      </w:pPr>
    </w:p>
    <w:p w:rsidR="003C006C" w:rsidRDefault="003C006C" w:rsidP="003C006C">
      <w:pPr>
        <w:jc w:val="both"/>
        <w:rPr>
          <w:bCs/>
        </w:rPr>
      </w:pPr>
    </w:p>
    <w:p w:rsidR="000133BD" w:rsidRPr="000133BD" w:rsidRDefault="000133BD" w:rsidP="000133BD">
      <w:pPr>
        <w:jc w:val="center"/>
        <w:rPr>
          <w:b/>
          <w:bCs/>
        </w:rPr>
      </w:pPr>
      <w:r w:rsidRPr="000133BD">
        <w:rPr>
          <w:b/>
          <w:bCs/>
        </w:rPr>
        <w:t>SUBAPPALTO</w:t>
      </w:r>
    </w:p>
    <w:p w:rsidR="000133BD" w:rsidRDefault="000133BD" w:rsidP="003C006C">
      <w:pPr>
        <w:jc w:val="both"/>
        <w:rPr>
          <w:bCs/>
        </w:rPr>
      </w:pPr>
    </w:p>
    <w:p w:rsidR="003C006C" w:rsidRPr="006D4AE8" w:rsidRDefault="003C006C" w:rsidP="003C006C">
      <w:pPr>
        <w:jc w:val="both"/>
        <w:rPr>
          <w:rFonts w:ascii="Garamond" w:hAnsi="Garamond"/>
          <w:bCs/>
        </w:rPr>
      </w:pPr>
      <w:r w:rsidRPr="006D4AE8">
        <w:rPr>
          <w:rFonts w:ascii="Garamond" w:hAnsi="Garamond"/>
          <w:b/>
          <w:bCs/>
          <w:u w:val="single"/>
        </w:rPr>
        <w:t>In materia di subappalto</w:t>
      </w:r>
      <w:r w:rsidRPr="006D4AE8">
        <w:rPr>
          <w:rFonts w:ascii="Garamond" w:hAnsi="Garamond"/>
          <w:bCs/>
        </w:rPr>
        <w:t>, i riferimenti sono quelli del considerando n. 78 e 105 nonch</w:t>
      </w:r>
      <w:r w:rsidR="00F33649">
        <w:rPr>
          <w:rFonts w:ascii="Garamond" w:hAnsi="Garamond"/>
          <w:bCs/>
        </w:rPr>
        <w:t>é</w:t>
      </w:r>
      <w:r w:rsidRPr="006D4AE8">
        <w:rPr>
          <w:rFonts w:ascii="Garamond" w:hAnsi="Garamond"/>
          <w:bCs/>
        </w:rPr>
        <w:t xml:space="preserve"> dell’articolo 71 della Direttiva e quelli contenuti all’art. 1, comma 1, lettera uu) e lettera rrr), della legge delega.</w:t>
      </w:r>
    </w:p>
    <w:p w:rsidR="003C006C" w:rsidRPr="006D4AE8" w:rsidRDefault="003C006C" w:rsidP="003C006C">
      <w:pPr>
        <w:jc w:val="both"/>
        <w:rPr>
          <w:rFonts w:ascii="Garamond" w:hAnsi="Garamond"/>
          <w:bCs/>
        </w:rPr>
      </w:pPr>
      <w:r w:rsidRPr="006D4AE8">
        <w:rPr>
          <w:rFonts w:ascii="Garamond" w:hAnsi="Garamond"/>
          <w:b/>
          <w:bCs/>
        </w:rPr>
        <w:t>I principi contenuti nella direttiva sono</w:t>
      </w:r>
      <w:r w:rsidRPr="006D4AE8">
        <w:rPr>
          <w:rFonts w:ascii="Garamond" w:hAnsi="Garamond"/>
          <w:bCs/>
        </w:rPr>
        <w:t>, sostanzialmente i seguenti:</w:t>
      </w:r>
    </w:p>
    <w:p w:rsidR="003C006C" w:rsidRPr="006D4AE8" w:rsidRDefault="003C006C" w:rsidP="003C006C">
      <w:pPr>
        <w:pStyle w:val="Paragrafoelenco"/>
        <w:numPr>
          <w:ilvl w:val="0"/>
          <w:numId w:val="4"/>
        </w:numPr>
        <w:jc w:val="both"/>
        <w:rPr>
          <w:rFonts w:ascii="Garamond" w:hAnsi="Garamond"/>
        </w:rPr>
      </w:pPr>
      <w:r w:rsidRPr="006D4AE8">
        <w:rPr>
          <w:rFonts w:ascii="Garamond" w:hAnsi="Garamond"/>
        </w:rPr>
        <w:t>“</w:t>
      </w:r>
      <w:r w:rsidRPr="006D4AE8">
        <w:rPr>
          <w:rFonts w:ascii="Garamond" w:hAnsi="Garamond"/>
          <w:i/>
        </w:rPr>
        <w:t xml:space="preserve">gli </w:t>
      </w:r>
      <w:r w:rsidRPr="006D4AE8">
        <w:rPr>
          <w:rFonts w:ascii="Garamond" w:hAnsi="Garamond"/>
          <w:b/>
          <w:i/>
        </w:rPr>
        <w:t>Stati membri dovrebbero anche avere la facoltà di creare meccanismi per il pagamento diretto ai subappaltatori</w:t>
      </w:r>
      <w:r w:rsidRPr="006D4AE8">
        <w:rPr>
          <w:rFonts w:ascii="Garamond" w:hAnsi="Garamond"/>
        </w:rPr>
        <w:t>” (considerando 78).</w:t>
      </w:r>
    </w:p>
    <w:p w:rsidR="003C006C" w:rsidRPr="006D4AE8" w:rsidRDefault="003C006C" w:rsidP="003C006C">
      <w:pPr>
        <w:pStyle w:val="Paragrafoelenco"/>
        <w:numPr>
          <w:ilvl w:val="0"/>
          <w:numId w:val="4"/>
        </w:numPr>
        <w:jc w:val="both"/>
        <w:rPr>
          <w:rFonts w:ascii="Garamond" w:hAnsi="Garamond"/>
        </w:rPr>
      </w:pPr>
      <w:r w:rsidRPr="006D4AE8">
        <w:rPr>
          <w:rFonts w:ascii="Garamond" w:hAnsi="Garamond"/>
        </w:rPr>
        <w:t>è “</w:t>
      </w:r>
      <w:r w:rsidRPr="006D4AE8">
        <w:rPr>
          <w:rFonts w:ascii="Garamond" w:hAnsi="Garamond"/>
          <w:i/>
        </w:rPr>
        <w:t xml:space="preserve">necessario </w:t>
      </w:r>
      <w:r w:rsidRPr="006D4AE8">
        <w:rPr>
          <w:rFonts w:ascii="Garamond" w:hAnsi="Garamond"/>
          <w:b/>
          <w:i/>
        </w:rPr>
        <w:t>garantire una certa trasparenza nella catena dei subappalti, in quanto ciò fornisce alle amministrazioni aggiudicatrici informazioni su chi è presente nei cantieri</w:t>
      </w:r>
      <w:r w:rsidRPr="006D4AE8">
        <w:rPr>
          <w:rFonts w:ascii="Garamond" w:hAnsi="Garamond"/>
          <w:i/>
        </w:rPr>
        <w:t xml:space="preserve"> edili nei quali si stanno eseguendo i lavori per loro conto o su quali imprese forniscono servizi negli edifici, infrastrutture o aree</w:t>
      </w:r>
      <w:r w:rsidRPr="006D4AE8">
        <w:rPr>
          <w:rFonts w:ascii="Garamond" w:hAnsi="Garamond"/>
        </w:rPr>
        <w:t>” (considerando 105);</w:t>
      </w:r>
    </w:p>
    <w:p w:rsidR="003C006C" w:rsidRPr="006D4AE8" w:rsidRDefault="003C006C" w:rsidP="003C006C">
      <w:pPr>
        <w:pStyle w:val="Paragrafoelenco"/>
        <w:numPr>
          <w:ilvl w:val="0"/>
          <w:numId w:val="4"/>
        </w:numPr>
        <w:jc w:val="both"/>
        <w:rPr>
          <w:rFonts w:ascii="Garamond" w:hAnsi="Garamond"/>
          <w:bCs/>
        </w:rPr>
      </w:pPr>
      <w:r w:rsidRPr="006D4AE8">
        <w:rPr>
          <w:rFonts w:ascii="Garamond" w:hAnsi="Garamond"/>
        </w:rPr>
        <w:t>è opportuno “</w:t>
      </w:r>
      <w:r w:rsidRPr="006D4AE8">
        <w:rPr>
          <w:rFonts w:ascii="Garamond" w:hAnsi="Garamond"/>
          <w:b/>
          <w:i/>
        </w:rPr>
        <w:t>stabilire espressamente che gli Stati membri restano liberi di prevedere disposizioni di diritto interno più rigorose in materia di responsabilità o norme più avanzate in materia di pagamenti diretti ai subappaltatori</w:t>
      </w:r>
      <w:r w:rsidRPr="006D4AE8">
        <w:rPr>
          <w:rFonts w:ascii="Garamond" w:hAnsi="Garamond"/>
        </w:rPr>
        <w:t>” (considerando 105).</w:t>
      </w:r>
    </w:p>
    <w:p w:rsidR="003C006C" w:rsidRPr="006D4AE8" w:rsidRDefault="003C006C" w:rsidP="003C006C">
      <w:pPr>
        <w:pStyle w:val="Paragrafoelenco"/>
        <w:numPr>
          <w:ilvl w:val="0"/>
          <w:numId w:val="4"/>
        </w:numPr>
        <w:jc w:val="both"/>
        <w:rPr>
          <w:rFonts w:ascii="Garamond" w:hAnsi="Garamond"/>
          <w:bCs/>
        </w:rPr>
      </w:pPr>
      <w:r w:rsidRPr="006D4AE8">
        <w:rPr>
          <w:rFonts w:ascii="Garamond" w:hAnsi="Garamond"/>
        </w:rPr>
        <w:t>“</w:t>
      </w:r>
      <w:r w:rsidRPr="006D4AE8">
        <w:rPr>
          <w:rFonts w:ascii="Garamond" w:hAnsi="Garamond"/>
          <w:i/>
        </w:rPr>
        <w:t xml:space="preserve">nei documenti di gara </w:t>
      </w:r>
      <w:r w:rsidRPr="006D4AE8">
        <w:rPr>
          <w:rFonts w:ascii="Garamond" w:hAnsi="Garamond"/>
          <w:b/>
          <w:i/>
        </w:rPr>
        <w:t>l’amministrazione aggiudicatrice può chiedere o può essere obbligata da uno Stato membro a chiedere all’offerente di indicare, nella sua offerta, le eventuali parti dell’appalto che intende subappaltare a terzi, nonché i subappaltatori proposti</w:t>
      </w:r>
      <w:r w:rsidRPr="006D4AE8">
        <w:rPr>
          <w:rFonts w:ascii="Garamond" w:hAnsi="Garamond"/>
        </w:rPr>
        <w:t>”; (art. 71, comma 2)</w:t>
      </w:r>
    </w:p>
    <w:p w:rsidR="003C006C" w:rsidRPr="006D4AE8" w:rsidRDefault="003C006C" w:rsidP="003C006C">
      <w:pPr>
        <w:pStyle w:val="Paragrafoelenco"/>
        <w:numPr>
          <w:ilvl w:val="0"/>
          <w:numId w:val="4"/>
        </w:numPr>
        <w:jc w:val="both"/>
        <w:rPr>
          <w:rFonts w:ascii="Garamond" w:hAnsi="Garamond"/>
          <w:bCs/>
        </w:rPr>
      </w:pPr>
      <w:r w:rsidRPr="006D4AE8">
        <w:rPr>
          <w:rFonts w:ascii="Garamond" w:hAnsi="Garamond"/>
        </w:rPr>
        <w:t>“</w:t>
      </w:r>
      <w:r w:rsidRPr="006D4AE8">
        <w:rPr>
          <w:rFonts w:ascii="Garamond" w:hAnsi="Garamond"/>
          <w:i/>
        </w:rPr>
        <w:t xml:space="preserve">gli Stati membri possono prevedere che, </w:t>
      </w:r>
      <w:r w:rsidRPr="006D4AE8">
        <w:rPr>
          <w:rFonts w:ascii="Garamond" w:hAnsi="Garamond"/>
          <w:b/>
          <w:i/>
        </w:rPr>
        <w:t>su richiesta del subappaltatore e se la natura del contratto lo consente, l’amministrazione aggiudicatrice trasferisca i pagamenti dovuti direttamente al subappaltatore per i servizi, le forniture o i lavori forniti</w:t>
      </w:r>
      <w:r w:rsidRPr="006D4AE8">
        <w:rPr>
          <w:rFonts w:ascii="Garamond" w:hAnsi="Garamond"/>
          <w:i/>
        </w:rPr>
        <w:t xml:space="preserve"> all’operatore </w:t>
      </w:r>
      <w:r w:rsidRPr="006D4AE8">
        <w:rPr>
          <w:rFonts w:ascii="Garamond" w:hAnsi="Garamond"/>
          <w:i/>
        </w:rPr>
        <w:lastRenderedPageBreak/>
        <w:t>economico cui è stato aggiudicato l’appalto pubblico (il contraente principale). Tra tali misure possono rientrare idonei meccanismi che consentano al contraente principale di opporsi a pagamenti indebiti</w:t>
      </w:r>
      <w:r w:rsidRPr="006D4AE8">
        <w:rPr>
          <w:rFonts w:ascii="Garamond" w:hAnsi="Garamond"/>
        </w:rPr>
        <w:t>”; (art. 71, comma 3)</w:t>
      </w:r>
    </w:p>
    <w:p w:rsidR="003C006C" w:rsidRPr="006D4AE8" w:rsidRDefault="003C006C" w:rsidP="003C006C">
      <w:pPr>
        <w:pStyle w:val="Paragrafoelenco"/>
        <w:numPr>
          <w:ilvl w:val="0"/>
          <w:numId w:val="4"/>
        </w:numPr>
        <w:jc w:val="both"/>
        <w:rPr>
          <w:rFonts w:ascii="Garamond" w:hAnsi="Garamond"/>
          <w:bCs/>
          <w:i/>
        </w:rPr>
      </w:pPr>
      <w:r w:rsidRPr="006D4AE8">
        <w:rPr>
          <w:rFonts w:ascii="Garamond" w:hAnsi="Garamond"/>
        </w:rPr>
        <w:t>“</w:t>
      </w:r>
      <w:r w:rsidRPr="006D4AE8">
        <w:rPr>
          <w:rFonts w:ascii="Garamond" w:hAnsi="Garamond"/>
          <w:b/>
          <w:i/>
        </w:rPr>
        <w:t>le amministrazioni aggiudicatrici possono estendere o possono essere obbligate dagli Stati membri a</w:t>
      </w:r>
      <w:r w:rsidRPr="006D4AE8">
        <w:rPr>
          <w:rFonts w:ascii="Garamond" w:hAnsi="Garamond"/>
          <w:i/>
        </w:rPr>
        <w:t xml:space="preserve"> </w:t>
      </w:r>
      <w:r w:rsidRPr="006D4AE8">
        <w:rPr>
          <w:rFonts w:ascii="Garamond" w:hAnsi="Garamond"/>
          <w:b/>
          <w:i/>
        </w:rPr>
        <w:t>estendere gli obblighi previsti al primo comma, ad esempio</w:t>
      </w:r>
      <w:r w:rsidRPr="006D4AE8">
        <w:rPr>
          <w:rFonts w:ascii="Garamond" w:hAnsi="Garamond"/>
          <w:i/>
        </w:rPr>
        <w:t xml:space="preserve">: </w:t>
      </w:r>
    </w:p>
    <w:p w:rsidR="003C006C" w:rsidRPr="006D4AE8" w:rsidRDefault="003C006C" w:rsidP="003C006C">
      <w:pPr>
        <w:pStyle w:val="Paragrafoelenco"/>
        <w:numPr>
          <w:ilvl w:val="0"/>
          <w:numId w:val="6"/>
        </w:numPr>
        <w:ind w:left="1134"/>
        <w:jc w:val="both"/>
        <w:rPr>
          <w:rFonts w:ascii="Garamond" w:hAnsi="Garamond"/>
          <w:bCs/>
          <w:i/>
        </w:rPr>
      </w:pPr>
      <w:r w:rsidRPr="006D4AE8">
        <w:rPr>
          <w:rFonts w:ascii="Garamond" w:hAnsi="Garamond"/>
          <w:b/>
          <w:i/>
        </w:rPr>
        <w:t>ai contratti di fornitura, ai contratti di servizi diversi da quelli riguardanti servizi da fornire presso gli impianti</w:t>
      </w:r>
      <w:r w:rsidRPr="006D4AE8">
        <w:rPr>
          <w:rFonts w:ascii="Garamond" w:hAnsi="Garamond"/>
          <w:i/>
        </w:rPr>
        <w:t xml:space="preserve"> sotto la diretta supervisione dell’amministrazione aggiudicatrice, </w:t>
      </w:r>
      <w:r w:rsidRPr="006D4AE8">
        <w:rPr>
          <w:rFonts w:ascii="Garamond" w:hAnsi="Garamond"/>
          <w:b/>
          <w:i/>
        </w:rPr>
        <w:t>ovvero ai fornitori coinvolti in contratti di lavori o di servizi</w:t>
      </w:r>
      <w:r w:rsidRPr="006D4AE8">
        <w:rPr>
          <w:rFonts w:ascii="Garamond" w:hAnsi="Garamond"/>
          <w:i/>
        </w:rPr>
        <w:t xml:space="preserve">; </w:t>
      </w:r>
    </w:p>
    <w:p w:rsidR="003C006C" w:rsidRPr="006D4AE8" w:rsidRDefault="003C006C" w:rsidP="003C006C">
      <w:pPr>
        <w:pStyle w:val="Paragrafoelenco"/>
        <w:numPr>
          <w:ilvl w:val="0"/>
          <w:numId w:val="6"/>
        </w:numPr>
        <w:ind w:left="1134"/>
        <w:jc w:val="both"/>
        <w:rPr>
          <w:rFonts w:ascii="Garamond" w:hAnsi="Garamond"/>
          <w:bCs/>
          <w:i/>
        </w:rPr>
      </w:pPr>
      <w:r w:rsidRPr="006D4AE8">
        <w:rPr>
          <w:rFonts w:ascii="Garamond" w:hAnsi="Garamond"/>
          <w:b/>
          <w:i/>
        </w:rPr>
        <w:t>ai subappaltatori dei subappaltatori del contraente principale o ai subappaltatori successivi nella catena dei subappalti</w:t>
      </w:r>
      <w:r w:rsidRPr="006D4AE8">
        <w:rPr>
          <w:rFonts w:ascii="Garamond" w:hAnsi="Garamond"/>
        </w:rPr>
        <w:t>”; (art. 71, comma 5, ultimo paragrafo)</w:t>
      </w:r>
    </w:p>
    <w:p w:rsidR="003C006C" w:rsidRPr="006D4AE8" w:rsidRDefault="003C006C" w:rsidP="003C006C">
      <w:pPr>
        <w:pStyle w:val="Paragrafoelenco"/>
        <w:numPr>
          <w:ilvl w:val="0"/>
          <w:numId w:val="4"/>
        </w:numPr>
        <w:jc w:val="both"/>
        <w:rPr>
          <w:rFonts w:ascii="Garamond" w:hAnsi="Garamond"/>
          <w:bCs/>
        </w:rPr>
      </w:pPr>
      <w:r w:rsidRPr="006D4AE8">
        <w:rPr>
          <w:rFonts w:ascii="Garamond" w:hAnsi="Garamond"/>
        </w:rPr>
        <w:t>“</w:t>
      </w:r>
      <w:r w:rsidRPr="006D4AE8">
        <w:rPr>
          <w:rFonts w:ascii="Garamond" w:hAnsi="Garamond"/>
          <w:b/>
          <w:i/>
        </w:rPr>
        <w:t>gli Stati membri possono prevedere disposizioni di diritto interno più rigorose</w:t>
      </w:r>
      <w:r w:rsidRPr="006D4AE8">
        <w:rPr>
          <w:rFonts w:ascii="Garamond" w:hAnsi="Garamond"/>
          <w:i/>
        </w:rPr>
        <w:t xml:space="preserve"> in materia di responsabilità, anche nel quadro del diritto interno in materia di pagamenti diretti ai subappaltatori, </w:t>
      </w:r>
      <w:r w:rsidRPr="006D4AE8">
        <w:rPr>
          <w:rFonts w:ascii="Garamond" w:hAnsi="Garamond"/>
          <w:b/>
          <w:i/>
        </w:rPr>
        <w:t>ad esempio prevedendo pagamenti diretti ai subappaltatori senza la necessità che questi ultimi facciano richiesta di pagamento diretto</w:t>
      </w:r>
      <w:r w:rsidRPr="006D4AE8">
        <w:rPr>
          <w:rFonts w:ascii="Garamond" w:hAnsi="Garamond"/>
        </w:rPr>
        <w:t>. (art. 71, comma 7)</w:t>
      </w:r>
    </w:p>
    <w:p w:rsidR="003C006C" w:rsidRPr="006D4AE8" w:rsidRDefault="00520E06" w:rsidP="003C006C">
      <w:pPr>
        <w:jc w:val="both"/>
        <w:rPr>
          <w:rFonts w:ascii="Garamond" w:hAnsi="Garamond"/>
          <w:bCs/>
        </w:rPr>
      </w:pPr>
      <w:r w:rsidRPr="006D4AE8">
        <w:rPr>
          <w:rFonts w:ascii="Garamond" w:hAnsi="Garamond"/>
          <w:b/>
          <w:color w:val="000000" w:themeColor="text1"/>
        </w:rPr>
        <w:t>I</w:t>
      </w:r>
      <w:r w:rsidR="003C006C" w:rsidRPr="006D4AE8">
        <w:rPr>
          <w:rFonts w:ascii="Garamond" w:hAnsi="Garamond"/>
          <w:b/>
          <w:bCs/>
          <w:color w:val="000000" w:themeColor="text1"/>
        </w:rPr>
        <w:t xml:space="preserve"> </w:t>
      </w:r>
      <w:r w:rsidR="003C006C" w:rsidRPr="006D4AE8">
        <w:rPr>
          <w:rFonts w:ascii="Garamond" w:hAnsi="Garamond"/>
          <w:b/>
          <w:bCs/>
        </w:rPr>
        <w:t>principi contenuti nella legge delega sono</w:t>
      </w:r>
      <w:r w:rsidR="003C006C" w:rsidRPr="006D4AE8">
        <w:rPr>
          <w:rFonts w:ascii="Garamond" w:hAnsi="Garamond"/>
          <w:bCs/>
        </w:rPr>
        <w:t>, sostanzialmente i seguenti:</w:t>
      </w:r>
    </w:p>
    <w:p w:rsidR="003C006C" w:rsidRPr="006D4AE8" w:rsidRDefault="00D802FA" w:rsidP="003C006C">
      <w:pPr>
        <w:pStyle w:val="Paragrafoelenco"/>
        <w:numPr>
          <w:ilvl w:val="0"/>
          <w:numId w:val="5"/>
        </w:numPr>
        <w:jc w:val="both"/>
        <w:rPr>
          <w:rFonts w:ascii="Garamond" w:hAnsi="Garamond"/>
        </w:rPr>
      </w:pPr>
      <w:r w:rsidRPr="006D4AE8">
        <w:rPr>
          <w:rFonts w:ascii="Garamond" w:hAnsi="Garamond"/>
        </w:rPr>
        <w:t xml:space="preserve"> </w:t>
      </w:r>
      <w:r w:rsidR="003C006C" w:rsidRPr="006D4AE8">
        <w:rPr>
          <w:rFonts w:ascii="Garamond" w:hAnsi="Garamond"/>
        </w:rPr>
        <w:t>“</w:t>
      </w:r>
      <w:r w:rsidR="003C006C" w:rsidRPr="006D4AE8">
        <w:rPr>
          <w:rFonts w:ascii="Garamond" w:hAnsi="Garamond"/>
          <w:i/>
        </w:rPr>
        <w:t xml:space="preserve">l’obbligo per il concorrente di </w:t>
      </w:r>
      <w:r w:rsidR="003C006C" w:rsidRPr="006D4AE8">
        <w:rPr>
          <w:rFonts w:ascii="Garamond" w:hAnsi="Garamond"/>
          <w:b/>
          <w:i/>
        </w:rPr>
        <w:t>indicare in sede di offerta le parti del contratto che intende subappaltare</w:t>
      </w:r>
      <w:r w:rsidR="003C006C" w:rsidRPr="006D4AE8">
        <w:rPr>
          <w:rFonts w:ascii="Garamond" w:hAnsi="Garamond"/>
          <w:b/>
          <w:bCs/>
          <w:i/>
        </w:rPr>
        <w:t xml:space="preserve">; l’espressa individuazione dei casi specifici in cui vige l’obbligo di indicare, in sede di offerta, </w:t>
      </w:r>
      <w:r w:rsidR="003C006C" w:rsidRPr="006D4AE8">
        <w:rPr>
          <w:rFonts w:ascii="Garamond" w:hAnsi="Garamond"/>
          <w:b/>
          <w:i/>
        </w:rPr>
        <w:t xml:space="preserve">una terna di nominativi di subappaltatori per ogni tipologia di </w:t>
      </w:r>
      <w:r w:rsidR="003C006C" w:rsidRPr="006D4AE8">
        <w:rPr>
          <w:rFonts w:ascii="Garamond" w:hAnsi="Garamond"/>
          <w:b/>
          <w:bCs/>
          <w:i/>
        </w:rPr>
        <w:t xml:space="preserve">attività </w:t>
      </w:r>
      <w:r w:rsidR="003C006C" w:rsidRPr="006D4AE8">
        <w:rPr>
          <w:rFonts w:ascii="Garamond" w:hAnsi="Garamond"/>
          <w:b/>
          <w:i/>
        </w:rPr>
        <w:t>prevista in progetto</w:t>
      </w:r>
      <w:r w:rsidR="003C006C" w:rsidRPr="006D4AE8">
        <w:rPr>
          <w:rFonts w:ascii="Garamond" w:hAnsi="Garamond"/>
        </w:rPr>
        <w:t>”; (</w:t>
      </w:r>
      <w:r w:rsidR="003C006C" w:rsidRPr="006D4AE8">
        <w:rPr>
          <w:rFonts w:ascii="Garamond" w:hAnsi="Garamond"/>
          <w:bCs/>
        </w:rPr>
        <w:t>art. 1, comma 1, lettera rrr)</w:t>
      </w:r>
    </w:p>
    <w:p w:rsidR="003C006C" w:rsidRPr="006D4AE8" w:rsidRDefault="003C006C" w:rsidP="003C006C">
      <w:pPr>
        <w:pStyle w:val="Paragrafoelenco"/>
        <w:numPr>
          <w:ilvl w:val="0"/>
          <w:numId w:val="5"/>
        </w:numPr>
        <w:jc w:val="both"/>
        <w:rPr>
          <w:rFonts w:ascii="Garamond" w:hAnsi="Garamond"/>
        </w:rPr>
      </w:pPr>
      <w:r w:rsidRPr="006D4AE8">
        <w:rPr>
          <w:rFonts w:ascii="Garamond" w:hAnsi="Garamond"/>
        </w:rPr>
        <w:t>“</w:t>
      </w:r>
      <w:r w:rsidRPr="006D4AE8">
        <w:rPr>
          <w:rFonts w:ascii="Garamond" w:hAnsi="Garamond"/>
          <w:i/>
        </w:rPr>
        <w:t>l’obbligo di dimostrare l’assenza in capo ai subappaltatori indicati di motivi di esclusione e di sostituire i subappaltatori relativamente ai quali apposita verifica abbia dimostrato la sussistenza di motivi di esclusione</w:t>
      </w:r>
      <w:r w:rsidRPr="006D4AE8">
        <w:rPr>
          <w:rFonts w:ascii="Garamond" w:hAnsi="Garamond"/>
        </w:rPr>
        <w:t>”; (</w:t>
      </w:r>
      <w:r w:rsidRPr="006D4AE8">
        <w:rPr>
          <w:rFonts w:ascii="Garamond" w:hAnsi="Garamond"/>
          <w:bCs/>
        </w:rPr>
        <w:t>art. 1, comma 1, lettera rrr)</w:t>
      </w:r>
    </w:p>
    <w:p w:rsidR="003C006C" w:rsidRPr="006D4AE8" w:rsidRDefault="003C006C" w:rsidP="003C006C">
      <w:pPr>
        <w:pStyle w:val="Paragrafoelenco"/>
        <w:numPr>
          <w:ilvl w:val="0"/>
          <w:numId w:val="5"/>
        </w:numPr>
        <w:jc w:val="both"/>
        <w:rPr>
          <w:rFonts w:ascii="Garamond" w:hAnsi="Garamond"/>
        </w:rPr>
      </w:pPr>
      <w:r w:rsidRPr="006D4AE8">
        <w:rPr>
          <w:rFonts w:ascii="Garamond" w:hAnsi="Garamond"/>
        </w:rPr>
        <w:t>“</w:t>
      </w:r>
      <w:r w:rsidRPr="006D4AE8">
        <w:rPr>
          <w:rFonts w:ascii="Garamond" w:hAnsi="Garamond"/>
          <w:b/>
          <w:i/>
        </w:rPr>
        <w:t>l’obbligo per la stazione appaltante di procedere al pagamento diretto dei subappaltatori in caso di inadempimento da parte dell’appaltatore o anche su richiesta del subappaltatore</w:t>
      </w:r>
      <w:r w:rsidRPr="006D4AE8">
        <w:rPr>
          <w:rFonts w:ascii="Garamond" w:hAnsi="Garamond"/>
        </w:rPr>
        <w:t>; (</w:t>
      </w:r>
      <w:r w:rsidRPr="006D4AE8">
        <w:rPr>
          <w:rFonts w:ascii="Garamond" w:hAnsi="Garamond"/>
          <w:bCs/>
        </w:rPr>
        <w:t>art. 1, comma 1, lettera rrr)</w:t>
      </w:r>
    </w:p>
    <w:p w:rsidR="003C006C" w:rsidRPr="006D4AE8" w:rsidRDefault="003C006C" w:rsidP="003C006C">
      <w:pPr>
        <w:pStyle w:val="Paragrafoelenco"/>
        <w:numPr>
          <w:ilvl w:val="0"/>
          <w:numId w:val="5"/>
        </w:numPr>
        <w:jc w:val="both"/>
        <w:rPr>
          <w:rFonts w:ascii="Garamond" w:hAnsi="Garamond"/>
        </w:rPr>
      </w:pPr>
      <w:r w:rsidRPr="006D4AE8">
        <w:rPr>
          <w:rFonts w:ascii="Garamond" w:hAnsi="Garamond"/>
        </w:rPr>
        <w:t xml:space="preserve">l’obbligo di </w:t>
      </w:r>
      <w:r w:rsidRPr="006D4AE8">
        <w:rPr>
          <w:rFonts w:ascii="Garamond" w:hAnsi="Garamond"/>
          <w:b/>
        </w:rPr>
        <w:t xml:space="preserve">procedere al pagamento diretto </w:t>
      </w:r>
      <w:r w:rsidRPr="00E3661C">
        <w:rPr>
          <w:rFonts w:ascii="Garamond" w:hAnsi="Garamond"/>
        </w:rPr>
        <w:t>“</w:t>
      </w:r>
      <w:r w:rsidRPr="006D4AE8">
        <w:rPr>
          <w:rFonts w:ascii="Garamond" w:hAnsi="Garamond"/>
          <w:b/>
          <w:i/>
        </w:rPr>
        <w:t>se la natura del contratto lo consente, per i servizi, le forniture o i lavori forniti</w:t>
      </w:r>
      <w:r w:rsidRPr="006D4AE8">
        <w:rPr>
          <w:rFonts w:ascii="Garamond" w:hAnsi="Garamond"/>
        </w:rPr>
        <w:t>”; (</w:t>
      </w:r>
      <w:r w:rsidRPr="006D4AE8">
        <w:rPr>
          <w:rFonts w:ascii="Garamond" w:hAnsi="Garamond"/>
          <w:bCs/>
        </w:rPr>
        <w:t>art. 1, comma 1, lettera rrr)</w:t>
      </w:r>
    </w:p>
    <w:p w:rsidR="003C006C" w:rsidRPr="006D4AE8" w:rsidRDefault="003C006C" w:rsidP="003C006C">
      <w:pPr>
        <w:pStyle w:val="Paragrafoelenco"/>
        <w:numPr>
          <w:ilvl w:val="0"/>
          <w:numId w:val="5"/>
        </w:numPr>
        <w:jc w:val="both"/>
        <w:rPr>
          <w:rFonts w:ascii="Garamond" w:hAnsi="Garamond"/>
          <w:bCs/>
        </w:rPr>
      </w:pPr>
      <w:r w:rsidRPr="006D4AE8">
        <w:rPr>
          <w:rFonts w:ascii="Garamond" w:hAnsi="Garamond"/>
          <w:bCs/>
        </w:rPr>
        <w:t>“</w:t>
      </w:r>
      <w:r w:rsidRPr="006D4AE8">
        <w:rPr>
          <w:rFonts w:ascii="Garamond" w:hAnsi="Garamond"/>
          <w:b/>
          <w:bCs/>
          <w:i/>
        </w:rPr>
        <w:t>ove il subappaltatore sia una microimpresa o una piccola impresa, l’espressa individuazione delle fattispecie in cui la stazione appaltante procede al pagamento diretto</w:t>
      </w:r>
      <w:r w:rsidRPr="006D4AE8">
        <w:rPr>
          <w:rFonts w:ascii="Garamond" w:hAnsi="Garamond"/>
          <w:bCs/>
        </w:rPr>
        <w:t>”;</w:t>
      </w:r>
    </w:p>
    <w:p w:rsidR="003C006C" w:rsidRPr="006D4AE8" w:rsidRDefault="003C006C" w:rsidP="003C006C">
      <w:pPr>
        <w:pStyle w:val="Paragrafoelenco"/>
        <w:numPr>
          <w:ilvl w:val="0"/>
          <w:numId w:val="5"/>
        </w:numPr>
        <w:jc w:val="both"/>
        <w:rPr>
          <w:rFonts w:ascii="Garamond" w:hAnsi="Garamond"/>
          <w:bCs/>
        </w:rPr>
      </w:pPr>
      <w:r w:rsidRPr="006D4AE8">
        <w:rPr>
          <w:rFonts w:ascii="Garamond" w:hAnsi="Garamond"/>
        </w:rPr>
        <w:t>“</w:t>
      </w:r>
      <w:r w:rsidRPr="006D4AE8">
        <w:rPr>
          <w:rFonts w:ascii="Garamond" w:hAnsi="Garamond"/>
          <w:i/>
        </w:rPr>
        <w:t xml:space="preserve">revisione del vigente sistema di qualificazione degli operatori economici in base a criteri di omogeneità, trasparenza e verifica formale e sostanziale delle capacità realizzative, delle competenze tecniche e professionali, ivi comprese le risorse umane, organiche all’impresa, </w:t>
      </w:r>
      <w:r w:rsidRPr="006D4AE8">
        <w:rPr>
          <w:rFonts w:ascii="Garamond" w:hAnsi="Garamond"/>
          <w:b/>
          <w:i/>
        </w:rPr>
        <w:t>nonché delle attività effettivamente eseguite</w:t>
      </w:r>
      <w:r w:rsidRPr="006D4AE8">
        <w:rPr>
          <w:rFonts w:ascii="Garamond" w:hAnsi="Garamond"/>
          <w:i/>
        </w:rPr>
        <w:t>”</w:t>
      </w:r>
      <w:r w:rsidRPr="006D4AE8">
        <w:rPr>
          <w:rFonts w:ascii="Garamond" w:hAnsi="Garamond"/>
        </w:rPr>
        <w:t xml:space="preserve"> (</w:t>
      </w:r>
      <w:r w:rsidRPr="006D4AE8">
        <w:rPr>
          <w:rFonts w:ascii="Garamond" w:hAnsi="Garamond"/>
          <w:bCs/>
        </w:rPr>
        <w:t>art. 1, comma 1, lettera uu).</w:t>
      </w:r>
    </w:p>
    <w:p w:rsidR="000133BD" w:rsidRDefault="000133BD" w:rsidP="003C006C">
      <w:pPr>
        <w:jc w:val="both"/>
        <w:rPr>
          <w:bCs/>
        </w:rPr>
      </w:pPr>
    </w:p>
    <w:p w:rsidR="000133BD" w:rsidRPr="000133BD" w:rsidRDefault="000133BD" w:rsidP="003C006C">
      <w:pPr>
        <w:jc w:val="both"/>
        <w:rPr>
          <w:b/>
          <w:bCs/>
        </w:rPr>
      </w:pPr>
      <w:r w:rsidRPr="000133BD">
        <w:rPr>
          <w:b/>
          <w:bCs/>
        </w:rPr>
        <w:t>Proposta</w:t>
      </w:r>
    </w:p>
    <w:p w:rsidR="003C006C" w:rsidRDefault="003C006C" w:rsidP="003C006C">
      <w:pPr>
        <w:jc w:val="both"/>
        <w:rPr>
          <w:bCs/>
        </w:rPr>
      </w:pPr>
      <w:r>
        <w:rPr>
          <w:bCs/>
        </w:rPr>
        <w:t xml:space="preserve">Coerentemente con il principio secondo cui l’operatore economico concorrente deve essere in possesso delle qualificazioni necessarie all’esecuzione di tutte le parti più qualificanti dell’opera, dovranno </w:t>
      </w:r>
      <w:r w:rsidRPr="003325F7">
        <w:rPr>
          <w:b/>
          <w:bCs/>
        </w:rPr>
        <w:t>venire meno tutte le limitazioni ad oggi previste circa la quantità dei lavori subappaltabili</w:t>
      </w:r>
      <w:r>
        <w:rPr>
          <w:bCs/>
        </w:rPr>
        <w:t xml:space="preserve">. </w:t>
      </w:r>
    </w:p>
    <w:p w:rsidR="003E5C64" w:rsidRDefault="000133BD" w:rsidP="003C006C">
      <w:pPr>
        <w:jc w:val="both"/>
        <w:rPr>
          <w:bCs/>
        </w:rPr>
      </w:pPr>
      <w:r>
        <w:rPr>
          <w:bCs/>
        </w:rPr>
        <w:t xml:space="preserve">La possibilità del cosiddetto </w:t>
      </w:r>
      <w:r w:rsidRPr="003325F7">
        <w:rPr>
          <w:b/>
          <w:bCs/>
        </w:rPr>
        <w:t>subappalto a cascata dovrebbe, comunque, essere limitata al secondo livello</w:t>
      </w:r>
      <w:r>
        <w:rPr>
          <w:bCs/>
        </w:rPr>
        <w:t xml:space="preserve">, individuando in modo puntuale le categorie di lavori a cui possa applicarsi. </w:t>
      </w:r>
    </w:p>
    <w:p w:rsidR="000133BD" w:rsidRDefault="000133BD" w:rsidP="003C006C">
      <w:pPr>
        <w:jc w:val="both"/>
        <w:rPr>
          <w:bCs/>
        </w:rPr>
      </w:pPr>
      <w:r>
        <w:rPr>
          <w:bCs/>
        </w:rPr>
        <w:t xml:space="preserve">Indicativamente dovrebbe essere </w:t>
      </w:r>
      <w:r w:rsidRPr="003325F7">
        <w:rPr>
          <w:b/>
          <w:bCs/>
        </w:rPr>
        <w:t>limitata ai lavori di</w:t>
      </w:r>
      <w:r>
        <w:rPr>
          <w:bCs/>
        </w:rPr>
        <w:t>:</w:t>
      </w:r>
    </w:p>
    <w:p w:rsidR="003325F7" w:rsidRPr="002B5339" w:rsidRDefault="002B5339" w:rsidP="002B5339">
      <w:pPr>
        <w:pStyle w:val="Paragrafoelenco"/>
        <w:numPr>
          <w:ilvl w:val="0"/>
          <w:numId w:val="8"/>
        </w:numPr>
        <w:jc w:val="both"/>
        <w:rPr>
          <w:bCs/>
        </w:rPr>
      </w:pPr>
      <w:r>
        <w:t>impianti elettromeccanici trasportatori</w:t>
      </w:r>
      <w:r w:rsidR="003325F7" w:rsidRPr="002B5339">
        <w:rPr>
          <w:bCs/>
        </w:rPr>
        <w:t>;</w:t>
      </w:r>
    </w:p>
    <w:p w:rsidR="003E5C64" w:rsidRDefault="003325F7" w:rsidP="003E5C64">
      <w:pPr>
        <w:pStyle w:val="Paragrafoelenco"/>
        <w:numPr>
          <w:ilvl w:val="0"/>
          <w:numId w:val="8"/>
        </w:numPr>
        <w:jc w:val="both"/>
        <w:rPr>
          <w:bCs/>
        </w:rPr>
      </w:pPr>
      <w:r w:rsidRPr="002B5339">
        <w:rPr>
          <w:bCs/>
        </w:rPr>
        <w:t>impianti pneumatici</w:t>
      </w:r>
      <w:r w:rsidR="003E5C64">
        <w:rPr>
          <w:bCs/>
        </w:rPr>
        <w:t>;</w:t>
      </w:r>
    </w:p>
    <w:p w:rsidR="003325F7" w:rsidRPr="003E5C64" w:rsidRDefault="003325F7" w:rsidP="003E5C64">
      <w:pPr>
        <w:pStyle w:val="Paragrafoelenco"/>
        <w:numPr>
          <w:ilvl w:val="0"/>
          <w:numId w:val="8"/>
        </w:numPr>
        <w:jc w:val="both"/>
        <w:rPr>
          <w:bCs/>
        </w:rPr>
      </w:pPr>
      <w:r w:rsidRPr="003E5C64">
        <w:rPr>
          <w:bCs/>
        </w:rPr>
        <w:t>impianti antintrusione;</w:t>
      </w:r>
    </w:p>
    <w:p w:rsidR="000133BD" w:rsidRDefault="003325F7" w:rsidP="002B5339">
      <w:pPr>
        <w:pStyle w:val="Paragrafoelenco"/>
        <w:numPr>
          <w:ilvl w:val="0"/>
          <w:numId w:val="8"/>
        </w:numPr>
        <w:jc w:val="both"/>
        <w:rPr>
          <w:bCs/>
        </w:rPr>
      </w:pPr>
      <w:r w:rsidRPr="002B5339">
        <w:rPr>
          <w:bCs/>
        </w:rPr>
        <w:t>strutture prefabbricate in cemento armato</w:t>
      </w:r>
      <w:r w:rsidR="002B5339">
        <w:rPr>
          <w:bCs/>
        </w:rPr>
        <w:t>;</w:t>
      </w:r>
    </w:p>
    <w:p w:rsidR="006D4AE8" w:rsidRDefault="006D4AE8" w:rsidP="006D4AE8">
      <w:pPr>
        <w:pStyle w:val="Paragrafoelenco"/>
        <w:numPr>
          <w:ilvl w:val="0"/>
          <w:numId w:val="8"/>
        </w:numPr>
        <w:jc w:val="both"/>
        <w:rPr>
          <w:bCs/>
        </w:rPr>
      </w:pPr>
      <w:r w:rsidRPr="006D4AE8">
        <w:rPr>
          <w:bCs/>
        </w:rPr>
        <w:t>componenti strutturali in acciaio;</w:t>
      </w:r>
    </w:p>
    <w:p w:rsidR="006D4AE8" w:rsidRPr="002B5339" w:rsidRDefault="006D4AE8" w:rsidP="006D4AE8">
      <w:pPr>
        <w:pStyle w:val="Paragrafoelenco"/>
        <w:numPr>
          <w:ilvl w:val="0"/>
          <w:numId w:val="8"/>
        </w:numPr>
        <w:jc w:val="both"/>
        <w:rPr>
          <w:bCs/>
        </w:rPr>
      </w:pPr>
      <w:r w:rsidRPr="006D4AE8">
        <w:rPr>
          <w:bCs/>
        </w:rPr>
        <w:t>componenti per facciate continue;</w:t>
      </w:r>
    </w:p>
    <w:p w:rsidR="002B5339" w:rsidRPr="00520E06" w:rsidRDefault="00520E06" w:rsidP="002B5339">
      <w:pPr>
        <w:pStyle w:val="Paragrafoelenco"/>
        <w:numPr>
          <w:ilvl w:val="0"/>
          <w:numId w:val="8"/>
        </w:numPr>
        <w:jc w:val="both"/>
        <w:rPr>
          <w:bCs/>
        </w:rPr>
      </w:pPr>
      <w:r>
        <w:t>coibentazioni</w:t>
      </w:r>
      <w:r w:rsidR="002B5339">
        <w:t>;</w:t>
      </w:r>
    </w:p>
    <w:p w:rsidR="00520E06" w:rsidRPr="00520E06" w:rsidRDefault="00520E06" w:rsidP="002B5339">
      <w:pPr>
        <w:pStyle w:val="Paragrafoelenco"/>
        <w:numPr>
          <w:ilvl w:val="0"/>
          <w:numId w:val="8"/>
        </w:numPr>
        <w:jc w:val="both"/>
        <w:rPr>
          <w:bCs/>
        </w:rPr>
      </w:pPr>
      <w:r>
        <w:t>infissi;</w:t>
      </w:r>
    </w:p>
    <w:p w:rsidR="00520E06" w:rsidRPr="002B5339" w:rsidRDefault="00520E06" w:rsidP="002B5339">
      <w:pPr>
        <w:pStyle w:val="Paragrafoelenco"/>
        <w:numPr>
          <w:ilvl w:val="0"/>
          <w:numId w:val="8"/>
        </w:numPr>
        <w:jc w:val="both"/>
        <w:rPr>
          <w:bCs/>
        </w:rPr>
      </w:pPr>
      <w:r>
        <w:t>carpenterie leggere;</w:t>
      </w:r>
    </w:p>
    <w:p w:rsidR="002B5339" w:rsidRPr="002B5339" w:rsidRDefault="002B5339" w:rsidP="002B5339">
      <w:pPr>
        <w:pStyle w:val="Paragrafoelenco"/>
        <w:numPr>
          <w:ilvl w:val="0"/>
          <w:numId w:val="8"/>
        </w:numPr>
        <w:jc w:val="both"/>
        <w:rPr>
          <w:bCs/>
        </w:rPr>
      </w:pPr>
      <w:r w:rsidRPr="002B5339">
        <w:rPr>
          <w:bCs/>
        </w:rPr>
        <w:lastRenderedPageBreak/>
        <w:t>lavori di scavo e perforazione;</w:t>
      </w:r>
    </w:p>
    <w:p w:rsidR="002B5339" w:rsidRPr="002B5339" w:rsidRDefault="002B5339" w:rsidP="002B5339">
      <w:pPr>
        <w:pStyle w:val="Paragrafoelenco"/>
        <w:numPr>
          <w:ilvl w:val="0"/>
          <w:numId w:val="8"/>
        </w:numPr>
        <w:jc w:val="both"/>
        <w:rPr>
          <w:bCs/>
        </w:rPr>
      </w:pPr>
      <w:r w:rsidRPr="002B5339">
        <w:rPr>
          <w:bCs/>
        </w:rPr>
        <w:t>lavori di impermeabilizzazione;</w:t>
      </w:r>
    </w:p>
    <w:p w:rsidR="002B5339" w:rsidRPr="002B5339" w:rsidRDefault="002B5339" w:rsidP="002B5339">
      <w:pPr>
        <w:pStyle w:val="Paragrafoelenco"/>
        <w:numPr>
          <w:ilvl w:val="0"/>
          <w:numId w:val="8"/>
        </w:numPr>
        <w:jc w:val="both"/>
        <w:rPr>
          <w:bCs/>
        </w:rPr>
      </w:pPr>
      <w:r w:rsidRPr="002B5339">
        <w:rPr>
          <w:bCs/>
        </w:rPr>
        <w:t>lavori di finitura edile (intonaci, rivestimenti e tinteggiature);</w:t>
      </w:r>
    </w:p>
    <w:p w:rsidR="002B5339" w:rsidRPr="002B5339" w:rsidRDefault="002B5339" w:rsidP="002B5339">
      <w:pPr>
        <w:pStyle w:val="Paragrafoelenco"/>
        <w:numPr>
          <w:ilvl w:val="0"/>
          <w:numId w:val="8"/>
        </w:numPr>
        <w:jc w:val="both"/>
        <w:rPr>
          <w:bCs/>
        </w:rPr>
      </w:pPr>
      <w:r w:rsidRPr="002B5339">
        <w:rPr>
          <w:bCs/>
        </w:rPr>
        <w:t>lavori di muratura non strutturali.</w:t>
      </w:r>
    </w:p>
    <w:p w:rsidR="003C006C" w:rsidRPr="003325F7" w:rsidRDefault="003C006C" w:rsidP="003C006C">
      <w:pPr>
        <w:jc w:val="both"/>
        <w:rPr>
          <w:bCs/>
        </w:rPr>
      </w:pPr>
      <w:r w:rsidRPr="003325F7">
        <w:rPr>
          <w:bCs/>
        </w:rPr>
        <w:t xml:space="preserve">L’intenzione di subappaltare e la quantità prevista di lavori che si intende subappaltare, </w:t>
      </w:r>
      <w:r w:rsidRPr="00520E06">
        <w:rPr>
          <w:b/>
          <w:bCs/>
        </w:rPr>
        <w:t>in ciascuna tipologia di opere</w:t>
      </w:r>
      <w:r w:rsidR="00520E06">
        <w:rPr>
          <w:b/>
          <w:bCs/>
        </w:rPr>
        <w:t xml:space="preserve"> </w:t>
      </w:r>
      <w:r w:rsidR="00520E06">
        <w:rPr>
          <w:bCs/>
        </w:rPr>
        <w:t>(in ossequio a quanto previsto dalla Legge delega)</w:t>
      </w:r>
      <w:r w:rsidRPr="00520E06">
        <w:rPr>
          <w:b/>
          <w:bCs/>
        </w:rPr>
        <w:t>, dovranno essere indicate in sede di offerta, congiuntamente all’</w:t>
      </w:r>
      <w:r w:rsidR="003325F7" w:rsidRPr="00520E06">
        <w:rPr>
          <w:b/>
          <w:bCs/>
        </w:rPr>
        <w:t>indicazione</w:t>
      </w:r>
      <w:r w:rsidRPr="00520E06">
        <w:rPr>
          <w:b/>
          <w:bCs/>
        </w:rPr>
        <w:t xml:space="preserve"> di una terna di imprese tra le quali dovrà, successivamente, essere individuata quella cui sarà affidato il subappalto</w:t>
      </w:r>
      <w:r w:rsidRPr="003325F7">
        <w:rPr>
          <w:bCs/>
        </w:rPr>
        <w:t>.</w:t>
      </w:r>
    </w:p>
    <w:p w:rsidR="003C006C" w:rsidRDefault="003C006C" w:rsidP="003C006C">
      <w:pPr>
        <w:jc w:val="both"/>
        <w:rPr>
          <w:bCs/>
        </w:rPr>
      </w:pPr>
      <w:r w:rsidRPr="003325F7">
        <w:rPr>
          <w:b/>
          <w:bCs/>
        </w:rPr>
        <w:t>Su richiesta del subappaltatore l’Amministrazione procederà al pagamento diretto dello stesso</w:t>
      </w:r>
      <w:r>
        <w:rPr>
          <w:bCs/>
        </w:rPr>
        <w:t>.</w:t>
      </w:r>
    </w:p>
    <w:p w:rsidR="003C006C" w:rsidRPr="00D802FA" w:rsidRDefault="003C006C" w:rsidP="000133BD">
      <w:pPr>
        <w:jc w:val="both"/>
        <w:rPr>
          <w:bCs/>
          <w:color w:val="000000" w:themeColor="text1"/>
        </w:rPr>
      </w:pPr>
      <w:r w:rsidRPr="00D802FA">
        <w:rPr>
          <w:b/>
          <w:bCs/>
          <w:color w:val="000000" w:themeColor="text1"/>
        </w:rPr>
        <w:t>Tale facoltà potrà essere estesa</w:t>
      </w:r>
      <w:r w:rsidRPr="00D802FA">
        <w:rPr>
          <w:bCs/>
          <w:color w:val="000000" w:themeColor="text1"/>
        </w:rPr>
        <w:t>, laddove la natura del contratto lo consenta,</w:t>
      </w:r>
      <w:r w:rsidR="00F0492B" w:rsidRPr="00D802FA">
        <w:rPr>
          <w:b/>
          <w:bCs/>
          <w:color w:val="000000" w:themeColor="text1"/>
        </w:rPr>
        <w:t xml:space="preserve"> anche a servizi, forniture</w:t>
      </w:r>
      <w:r w:rsidR="002E092B" w:rsidRPr="00D802FA">
        <w:rPr>
          <w:b/>
          <w:bCs/>
          <w:color w:val="000000" w:themeColor="text1"/>
        </w:rPr>
        <w:t xml:space="preserve"> </w:t>
      </w:r>
      <w:r w:rsidR="0028737C" w:rsidRPr="00D802FA">
        <w:rPr>
          <w:b/>
          <w:bCs/>
          <w:color w:val="000000" w:themeColor="text1"/>
        </w:rPr>
        <w:t>o</w:t>
      </w:r>
      <w:r w:rsidR="003E5C64" w:rsidRPr="00D802FA">
        <w:rPr>
          <w:b/>
          <w:bCs/>
          <w:color w:val="000000" w:themeColor="text1"/>
        </w:rPr>
        <w:t xml:space="preserve"> lavori forniti</w:t>
      </w:r>
      <w:r w:rsidR="0028737C" w:rsidRPr="00D802FA">
        <w:rPr>
          <w:b/>
          <w:bCs/>
          <w:color w:val="000000" w:themeColor="text1"/>
        </w:rPr>
        <w:t>,</w:t>
      </w:r>
      <w:r w:rsidRPr="00D802FA">
        <w:rPr>
          <w:b/>
          <w:bCs/>
          <w:color w:val="000000" w:themeColor="text1"/>
        </w:rPr>
        <w:t xml:space="preserve"> conness</w:t>
      </w:r>
      <w:r w:rsidR="00F0492B" w:rsidRPr="00D802FA">
        <w:rPr>
          <w:b/>
          <w:bCs/>
          <w:color w:val="000000" w:themeColor="text1"/>
        </w:rPr>
        <w:t>i</w:t>
      </w:r>
      <w:r w:rsidRPr="00D802FA">
        <w:rPr>
          <w:b/>
          <w:bCs/>
          <w:color w:val="000000" w:themeColor="text1"/>
        </w:rPr>
        <w:t xml:space="preserve"> all’appalto stesso</w:t>
      </w:r>
      <w:r w:rsidRPr="00D802FA">
        <w:rPr>
          <w:bCs/>
          <w:color w:val="000000" w:themeColor="text1"/>
        </w:rPr>
        <w:t>.</w:t>
      </w:r>
    </w:p>
    <w:p w:rsidR="003C006C" w:rsidRDefault="003C006C" w:rsidP="000133BD">
      <w:pPr>
        <w:jc w:val="both"/>
        <w:rPr>
          <w:bCs/>
        </w:rPr>
      </w:pPr>
      <w:r w:rsidRPr="003325F7">
        <w:rPr>
          <w:b/>
          <w:bCs/>
        </w:rPr>
        <w:t>A tutela della piccole e micro imprese subappaltatrici</w:t>
      </w:r>
      <w:r>
        <w:rPr>
          <w:bCs/>
        </w:rPr>
        <w:t xml:space="preserve"> (che a causa della scarsa capacità contrattuale potrebbero trovarsi in situazione di sudditanza nei confronti dell’appaltatore principale), </w:t>
      </w:r>
      <w:r w:rsidRPr="003325F7">
        <w:rPr>
          <w:b/>
          <w:bCs/>
        </w:rPr>
        <w:t>il pagamento diretto dovrà essere previsto indipendentemente dalla richiesta del subappaltatore</w:t>
      </w:r>
      <w:r>
        <w:rPr>
          <w:bCs/>
        </w:rPr>
        <w:t>.</w:t>
      </w:r>
    </w:p>
    <w:p w:rsidR="005C47DF" w:rsidRDefault="003C006C" w:rsidP="000133BD">
      <w:pPr>
        <w:jc w:val="both"/>
        <w:rPr>
          <w:bCs/>
        </w:rPr>
      </w:pPr>
      <w:r w:rsidRPr="003325F7">
        <w:rPr>
          <w:b/>
          <w:bCs/>
        </w:rPr>
        <w:t>I lavori eseguiti in subappalto potranno essere usufruiti al fine della qualificazione unicamente dalle imprese subappaltatrici</w:t>
      </w:r>
      <w:r w:rsidR="00F0492B">
        <w:rPr>
          <w:b/>
          <w:bCs/>
        </w:rPr>
        <w:t xml:space="preserve"> </w:t>
      </w:r>
      <w:r w:rsidR="00F0492B" w:rsidRPr="00F0492B">
        <w:rPr>
          <w:bCs/>
        </w:rPr>
        <w:t>(art. 1, comma 1, lettera uu)</w:t>
      </w:r>
      <w:r>
        <w:rPr>
          <w:bCs/>
        </w:rPr>
        <w:t>, in ossequio alla previsione che la qualificazione si ottiene attraverso la dimostrazione delle attività effettivamente eseguite.</w:t>
      </w:r>
    </w:p>
    <w:p w:rsidR="003F1834" w:rsidRDefault="000133BD" w:rsidP="000133BD">
      <w:pPr>
        <w:jc w:val="both"/>
        <w:rPr>
          <w:bCs/>
        </w:rPr>
      </w:pPr>
      <w:r>
        <w:rPr>
          <w:bCs/>
        </w:rPr>
        <w:t xml:space="preserve">A seguito della contrazione del mercato dei lavori pubblici si è ingenerata una situazione congiunturale di </w:t>
      </w:r>
      <w:r w:rsidR="003F1834">
        <w:rPr>
          <w:bCs/>
        </w:rPr>
        <w:t xml:space="preserve">forti ribassi sul mercato degli appalti pubblici, situazione stigmatizzata da tutte le categorie che operano nel comparto. A fronte di tale situazione sarebbe </w:t>
      </w:r>
      <w:r w:rsidR="003F1834" w:rsidRPr="003325F7">
        <w:rPr>
          <w:b/>
          <w:bCs/>
        </w:rPr>
        <w:t xml:space="preserve">opportuno ridurre al </w:t>
      </w:r>
      <w:r w:rsidR="0028737C">
        <w:rPr>
          <w:b/>
          <w:bCs/>
        </w:rPr>
        <w:t>20</w:t>
      </w:r>
      <w:r w:rsidR="003F1834" w:rsidRPr="003325F7">
        <w:rPr>
          <w:b/>
          <w:bCs/>
        </w:rPr>
        <w:t>% il limite dello massimo sconto applicabile, sul prezzo di aggiudicazione, ai subappaltatori</w:t>
      </w:r>
      <w:r w:rsidR="003F1834">
        <w:rPr>
          <w:bCs/>
        </w:rPr>
        <w:t>.</w:t>
      </w:r>
    </w:p>
    <w:p w:rsidR="00CA5A45" w:rsidRDefault="00CA5A45" w:rsidP="000133BD">
      <w:pPr>
        <w:jc w:val="both"/>
        <w:rPr>
          <w:bCs/>
        </w:rPr>
      </w:pPr>
    </w:p>
    <w:p w:rsidR="00CA5A45" w:rsidRDefault="00CA5A45" w:rsidP="000133BD">
      <w:pPr>
        <w:jc w:val="both"/>
        <w:rPr>
          <w:bCs/>
        </w:rPr>
      </w:pPr>
      <w:r>
        <w:rPr>
          <w:bCs/>
        </w:rPr>
        <w:t>Gli argomenti oggetto della presente nota investo interessi contrapposti e difficilmente conciliabili tra le diverse categorie interessate al comparto dei la vori pubblici, riteniamo però che la gran parte delle norme che saranno inserite nel futuro codice appalti potrebbero essere largamente condivise</w:t>
      </w:r>
      <w:r w:rsidR="00A96DBC">
        <w:rPr>
          <w:bCs/>
        </w:rPr>
        <w:t>, con particolare riferimento a:</w:t>
      </w:r>
    </w:p>
    <w:p w:rsidR="00A96DBC" w:rsidRPr="00F0492B" w:rsidRDefault="00A96DBC" w:rsidP="00F0492B">
      <w:pPr>
        <w:pStyle w:val="Paragrafoelenco"/>
        <w:numPr>
          <w:ilvl w:val="0"/>
          <w:numId w:val="10"/>
        </w:numPr>
        <w:jc w:val="both"/>
        <w:rPr>
          <w:bCs/>
        </w:rPr>
      </w:pPr>
      <w:r w:rsidRPr="00F0492B">
        <w:rPr>
          <w:bCs/>
        </w:rPr>
        <w:t>semplificazione amministrativa;</w:t>
      </w:r>
    </w:p>
    <w:p w:rsidR="00A96DBC" w:rsidRPr="00F0492B" w:rsidRDefault="00A96DBC" w:rsidP="00F0492B">
      <w:pPr>
        <w:pStyle w:val="Paragrafoelenco"/>
        <w:numPr>
          <w:ilvl w:val="0"/>
          <w:numId w:val="10"/>
        </w:numPr>
        <w:jc w:val="both"/>
        <w:rPr>
          <w:bCs/>
        </w:rPr>
      </w:pPr>
      <w:r w:rsidRPr="00F0492B">
        <w:rPr>
          <w:bCs/>
        </w:rPr>
        <w:t>qualificazione delle stazioni appaltanti;</w:t>
      </w:r>
    </w:p>
    <w:p w:rsidR="00520E06" w:rsidRPr="00F0492B" w:rsidRDefault="00520E06" w:rsidP="00F0492B">
      <w:pPr>
        <w:pStyle w:val="Paragrafoelenco"/>
        <w:numPr>
          <w:ilvl w:val="0"/>
          <w:numId w:val="10"/>
        </w:numPr>
        <w:jc w:val="both"/>
        <w:rPr>
          <w:bCs/>
        </w:rPr>
      </w:pPr>
      <w:r w:rsidRPr="00F0492B">
        <w:rPr>
          <w:bCs/>
        </w:rPr>
        <w:t>termini e modalità dei pagamenti;</w:t>
      </w:r>
    </w:p>
    <w:p w:rsidR="00520E06" w:rsidRPr="00F0492B" w:rsidRDefault="00520E06" w:rsidP="00F0492B">
      <w:pPr>
        <w:pStyle w:val="Paragrafoelenco"/>
        <w:numPr>
          <w:ilvl w:val="0"/>
          <w:numId w:val="10"/>
        </w:numPr>
        <w:jc w:val="both"/>
        <w:rPr>
          <w:bCs/>
        </w:rPr>
      </w:pPr>
      <w:r w:rsidRPr="00F0492B">
        <w:rPr>
          <w:bCs/>
        </w:rPr>
        <w:t>organizzazione e gestione del cantiere;</w:t>
      </w:r>
    </w:p>
    <w:p w:rsidR="00520E06" w:rsidRPr="00F0492B" w:rsidRDefault="00520E06" w:rsidP="00F0492B">
      <w:pPr>
        <w:pStyle w:val="Paragrafoelenco"/>
        <w:numPr>
          <w:ilvl w:val="0"/>
          <w:numId w:val="10"/>
        </w:numPr>
        <w:jc w:val="both"/>
        <w:rPr>
          <w:bCs/>
        </w:rPr>
      </w:pPr>
      <w:r w:rsidRPr="00F0492B">
        <w:rPr>
          <w:bCs/>
        </w:rPr>
        <w:t>direzione dei lavori e collaudi.</w:t>
      </w:r>
    </w:p>
    <w:p w:rsidR="00520E06" w:rsidRDefault="00520E06" w:rsidP="000133BD">
      <w:pPr>
        <w:jc w:val="both"/>
        <w:rPr>
          <w:bCs/>
        </w:rPr>
      </w:pPr>
      <w:r>
        <w:rPr>
          <w:bCs/>
        </w:rPr>
        <w:t>Auspichiamo</w:t>
      </w:r>
      <w:r w:rsidR="002E092B">
        <w:rPr>
          <w:bCs/>
        </w:rPr>
        <w:t>,</w:t>
      </w:r>
      <w:r>
        <w:rPr>
          <w:bCs/>
        </w:rPr>
        <w:t xml:space="preserve"> dunque</w:t>
      </w:r>
      <w:r w:rsidR="002E092B">
        <w:rPr>
          <w:bCs/>
        </w:rPr>
        <w:t>,</w:t>
      </w:r>
      <w:r>
        <w:rPr>
          <w:bCs/>
        </w:rPr>
        <w:t xml:space="preserve"> che Confindustria non abdichi al proprio ruolo e lavori per ricercare, almeno per questi argomenti, delle posizioni condivise.</w:t>
      </w:r>
    </w:p>
    <w:p w:rsidR="00A96DBC" w:rsidRDefault="00A96DBC" w:rsidP="000133BD">
      <w:pPr>
        <w:jc w:val="both"/>
        <w:rPr>
          <w:bCs/>
        </w:rPr>
      </w:pPr>
    </w:p>
    <w:p w:rsidR="00A96DBC" w:rsidRPr="003F1834" w:rsidRDefault="00A96DBC" w:rsidP="000133BD">
      <w:pPr>
        <w:jc w:val="both"/>
        <w:rPr>
          <w:bCs/>
        </w:rPr>
      </w:pPr>
    </w:p>
    <w:sectPr w:rsidR="00A96DBC" w:rsidRPr="003F1834" w:rsidSect="00F95D3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4E07C5"/>
    <w:multiLevelType w:val="hybridMultilevel"/>
    <w:tmpl w:val="6186F15C"/>
    <w:lvl w:ilvl="0" w:tplc="1E5612B0">
      <w:start w:val="1"/>
      <w:numFmt w:val="bullet"/>
      <w:lvlText w:val="-"/>
      <w:lvlJc w:val="left"/>
      <w:pPr>
        <w:ind w:left="720" w:hanging="360"/>
      </w:pPr>
      <w:rPr>
        <w:rFonts w:ascii="Arial" w:hAnsi="Arial" w:hint="default"/>
        <w:color w:val="000000" w:themeColor="text1"/>
        <w:sz w:val="24"/>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6074FD"/>
    <w:multiLevelType w:val="hybridMultilevel"/>
    <w:tmpl w:val="B678B378"/>
    <w:lvl w:ilvl="0" w:tplc="1E5612B0">
      <w:start w:val="1"/>
      <w:numFmt w:val="bullet"/>
      <w:lvlText w:val="-"/>
      <w:lvlJc w:val="left"/>
      <w:pPr>
        <w:ind w:left="720" w:hanging="360"/>
      </w:pPr>
      <w:rPr>
        <w:rFonts w:ascii="Arial" w:hAnsi="Arial" w:hint="default"/>
        <w:color w:val="000000" w:themeColor="text1"/>
        <w:sz w:val="24"/>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1AEC057C"/>
    <w:multiLevelType w:val="hybridMultilevel"/>
    <w:tmpl w:val="0D5020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9072C3A"/>
    <w:multiLevelType w:val="hybridMultilevel"/>
    <w:tmpl w:val="EAB6EE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310600D0"/>
    <w:multiLevelType w:val="hybridMultilevel"/>
    <w:tmpl w:val="95B4944A"/>
    <w:lvl w:ilvl="0" w:tplc="1E5612B0">
      <w:start w:val="1"/>
      <w:numFmt w:val="bullet"/>
      <w:lvlText w:val="-"/>
      <w:lvlJc w:val="left"/>
      <w:pPr>
        <w:ind w:left="720" w:hanging="360"/>
      </w:pPr>
      <w:rPr>
        <w:rFonts w:ascii="Arial" w:hAnsi="Arial" w:hint="default"/>
        <w:color w:val="000000" w:themeColor="text1"/>
        <w:sz w:val="24"/>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FBF3EDB"/>
    <w:multiLevelType w:val="hybridMultilevel"/>
    <w:tmpl w:val="3C7A67F4"/>
    <w:lvl w:ilvl="0" w:tplc="1E5612B0">
      <w:start w:val="1"/>
      <w:numFmt w:val="bullet"/>
      <w:lvlText w:val="-"/>
      <w:lvlJc w:val="left"/>
      <w:pPr>
        <w:ind w:left="720" w:hanging="360"/>
      </w:pPr>
      <w:rPr>
        <w:rFonts w:ascii="Arial" w:hAnsi="Arial" w:hint="default"/>
        <w:color w:val="000000" w:themeColor="text1"/>
        <w:sz w:val="24"/>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5853384B"/>
    <w:multiLevelType w:val="hybridMultilevel"/>
    <w:tmpl w:val="CAC6C59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6C147D8B"/>
    <w:multiLevelType w:val="hybridMultilevel"/>
    <w:tmpl w:val="384E51C2"/>
    <w:lvl w:ilvl="0" w:tplc="1E5612B0">
      <w:start w:val="1"/>
      <w:numFmt w:val="bullet"/>
      <w:lvlText w:val="-"/>
      <w:lvlJc w:val="left"/>
      <w:pPr>
        <w:ind w:left="720" w:hanging="360"/>
      </w:pPr>
      <w:rPr>
        <w:rFonts w:ascii="Arial" w:hAnsi="Arial" w:hint="default"/>
        <w:color w:val="000000" w:themeColor="text1"/>
        <w:sz w:val="24"/>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7AD47C69"/>
    <w:multiLevelType w:val="hybridMultilevel"/>
    <w:tmpl w:val="1D28EF02"/>
    <w:lvl w:ilvl="0" w:tplc="1E5612B0">
      <w:start w:val="1"/>
      <w:numFmt w:val="bullet"/>
      <w:lvlText w:val="-"/>
      <w:lvlJc w:val="left"/>
      <w:pPr>
        <w:ind w:left="720" w:hanging="360"/>
      </w:pPr>
      <w:rPr>
        <w:rFonts w:ascii="Arial" w:hAnsi="Arial" w:hint="default"/>
        <w:color w:val="000000" w:themeColor="text1"/>
        <w:sz w:val="24"/>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7FC2180D"/>
    <w:multiLevelType w:val="hybridMultilevel"/>
    <w:tmpl w:val="E5D24794"/>
    <w:lvl w:ilvl="0" w:tplc="1E5612B0">
      <w:start w:val="1"/>
      <w:numFmt w:val="bullet"/>
      <w:lvlText w:val="-"/>
      <w:lvlJc w:val="left"/>
      <w:pPr>
        <w:ind w:left="720" w:hanging="360"/>
      </w:pPr>
      <w:rPr>
        <w:rFonts w:ascii="Arial" w:hAnsi="Arial" w:hint="default"/>
        <w:color w:val="000000" w:themeColor="text1"/>
        <w:sz w:val="24"/>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8"/>
  </w:num>
  <w:num w:numId="4">
    <w:abstractNumId w:val="9"/>
  </w:num>
  <w:num w:numId="5">
    <w:abstractNumId w:val="5"/>
  </w:num>
  <w:num w:numId="6">
    <w:abstractNumId w:val="6"/>
  </w:num>
  <w:num w:numId="7">
    <w:abstractNumId w:val="3"/>
  </w:num>
  <w:num w:numId="8">
    <w:abstractNumId w:val="7"/>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defaultTabStop w:val="708"/>
  <w:hyphenationZone w:val="283"/>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006C"/>
    <w:rsid w:val="000001D8"/>
    <w:rsid w:val="000133BD"/>
    <w:rsid w:val="0028737C"/>
    <w:rsid w:val="002B5339"/>
    <w:rsid w:val="002E092B"/>
    <w:rsid w:val="003325F7"/>
    <w:rsid w:val="003C006C"/>
    <w:rsid w:val="003E5C64"/>
    <w:rsid w:val="003F1834"/>
    <w:rsid w:val="00520E06"/>
    <w:rsid w:val="00573F60"/>
    <w:rsid w:val="005C47DF"/>
    <w:rsid w:val="006D4AE8"/>
    <w:rsid w:val="007049FD"/>
    <w:rsid w:val="00871283"/>
    <w:rsid w:val="00A367DB"/>
    <w:rsid w:val="00A96DBC"/>
    <w:rsid w:val="00B3113D"/>
    <w:rsid w:val="00CA5A45"/>
    <w:rsid w:val="00D802FA"/>
    <w:rsid w:val="00E0335D"/>
    <w:rsid w:val="00E3661C"/>
    <w:rsid w:val="00EE4333"/>
    <w:rsid w:val="00F0492B"/>
    <w:rsid w:val="00F33649"/>
    <w:rsid w:val="00F95D3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C006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C006C"/>
    <w:pPr>
      <w:ind w:left="720"/>
      <w:contextualSpacing/>
    </w:pPr>
  </w:style>
  <w:style w:type="paragraph" w:styleId="Testofumetto">
    <w:name w:val="Balloon Text"/>
    <w:basedOn w:val="Normale"/>
    <w:link w:val="TestofumettoCarattere"/>
    <w:uiPriority w:val="99"/>
    <w:semiHidden/>
    <w:unhideWhenUsed/>
    <w:rsid w:val="0087128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7128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C006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C006C"/>
    <w:pPr>
      <w:ind w:left="720"/>
      <w:contextualSpacing/>
    </w:pPr>
  </w:style>
  <w:style w:type="paragraph" w:styleId="Testofumetto">
    <w:name w:val="Balloon Text"/>
    <w:basedOn w:val="Normale"/>
    <w:link w:val="TestofumettoCarattere"/>
    <w:uiPriority w:val="99"/>
    <w:semiHidden/>
    <w:unhideWhenUsed/>
    <w:rsid w:val="0087128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7128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1983</Words>
  <Characters>11306</Characters>
  <Application>Microsoft Office Word</Application>
  <DocSecurity>0</DocSecurity>
  <Lines>94</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Ghelfi Massimo UI Torino</dc:creator>
  <cp:lastModifiedBy>Laura Pratalata</cp:lastModifiedBy>
  <cp:revision>2</cp:revision>
  <cp:lastPrinted>2016-01-14T14:23:00Z</cp:lastPrinted>
  <dcterms:created xsi:type="dcterms:W3CDTF">2016-02-05T14:28:00Z</dcterms:created>
  <dcterms:modified xsi:type="dcterms:W3CDTF">2016-02-05T14:28:00Z</dcterms:modified>
</cp:coreProperties>
</file>