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1D56" w:rsidRPr="004A05F6" w:rsidRDefault="00551D56" w:rsidP="00551D56">
      <w:pPr>
        <w:jc w:val="center"/>
        <w:rPr>
          <w:rFonts w:ascii="Arial" w:hAnsi="Arial" w:cs="Arial"/>
          <w:b/>
          <w:sz w:val="24"/>
          <w:szCs w:val="24"/>
        </w:rPr>
      </w:pPr>
      <w:bookmarkStart w:id="0" w:name="_GoBack"/>
      <w:bookmarkEnd w:id="0"/>
    </w:p>
    <w:p w:rsidR="00121CC5" w:rsidRPr="004A05F6" w:rsidRDefault="00121CC5" w:rsidP="00551D56">
      <w:pPr>
        <w:jc w:val="center"/>
        <w:rPr>
          <w:rFonts w:ascii="Arial" w:hAnsi="Arial" w:cs="Arial"/>
          <w:b/>
          <w:sz w:val="24"/>
          <w:szCs w:val="24"/>
        </w:rPr>
      </w:pPr>
      <w:r w:rsidRPr="004A05F6">
        <w:rPr>
          <w:rFonts w:ascii="Arial" w:hAnsi="Arial" w:cs="Arial"/>
          <w:b/>
          <w:sz w:val="24"/>
          <w:szCs w:val="24"/>
        </w:rPr>
        <w:t>Nota a Confindustria</w:t>
      </w:r>
    </w:p>
    <w:p w:rsidR="00121CC5" w:rsidRPr="004A05F6" w:rsidRDefault="00121CC5" w:rsidP="00121CC5">
      <w:pPr>
        <w:spacing w:after="120"/>
        <w:jc w:val="center"/>
        <w:rPr>
          <w:rFonts w:ascii="Arial" w:hAnsi="Arial" w:cs="Arial"/>
          <w:b/>
          <w:sz w:val="24"/>
          <w:szCs w:val="24"/>
        </w:rPr>
      </w:pPr>
      <w:r w:rsidRPr="004A05F6">
        <w:rPr>
          <w:rFonts w:ascii="Arial" w:hAnsi="Arial" w:cs="Arial"/>
          <w:b/>
          <w:sz w:val="24"/>
          <w:szCs w:val="24"/>
        </w:rPr>
        <w:t>in materia di regolamentazione delle gare di appalto</w:t>
      </w:r>
    </w:p>
    <w:p w:rsidR="00121CC5" w:rsidRDefault="00121CC5" w:rsidP="00121CC5">
      <w:pPr>
        <w:spacing w:after="120"/>
        <w:jc w:val="both"/>
      </w:pPr>
    </w:p>
    <w:p w:rsidR="00121CC5" w:rsidRDefault="00121CC5" w:rsidP="00121CC5">
      <w:pPr>
        <w:spacing w:after="120"/>
        <w:jc w:val="both"/>
      </w:pPr>
    </w:p>
    <w:p w:rsidR="00121CC5" w:rsidRPr="00551D56" w:rsidRDefault="00121CC5" w:rsidP="00551D56">
      <w:pPr>
        <w:spacing w:after="120"/>
        <w:jc w:val="both"/>
        <w:rPr>
          <w:rFonts w:ascii="Arial" w:hAnsi="Arial" w:cs="Arial"/>
        </w:rPr>
      </w:pPr>
      <w:r w:rsidRPr="00551D56">
        <w:rPr>
          <w:rFonts w:ascii="Arial" w:hAnsi="Arial" w:cs="Arial"/>
        </w:rPr>
        <w:t>Alle considerazioni già contenute nella nota in materia di qualificazione e subappalto, si aggiungono ulteriori considerazioni di carattere più generale unite ad alcune indicazioni specifiche relative a tematiche di interesse per le imprese che partecipano a gare d’appalto pubbliche.</w:t>
      </w:r>
    </w:p>
    <w:p w:rsidR="00121CC5" w:rsidRPr="00551D56" w:rsidRDefault="00121CC5" w:rsidP="00551D56">
      <w:pPr>
        <w:spacing w:after="120"/>
        <w:jc w:val="both"/>
        <w:rPr>
          <w:rFonts w:ascii="Arial" w:hAnsi="Arial" w:cs="Arial"/>
        </w:rPr>
      </w:pPr>
      <w:r w:rsidRPr="00551D56">
        <w:rPr>
          <w:rFonts w:ascii="Arial" w:hAnsi="Arial" w:cs="Arial"/>
        </w:rPr>
        <w:t xml:space="preserve"> La prospettiva di valorizzazione del ruolo delle Amministrazioni aggiudicatrici, auspicata dalle direttive, richiede, anche a fini di contrasto dei fenomeni corruttivi, un rafforzamento delle loro capacità tecniche, una loro maggiore responsabilizzazione sulla base dei risultati effettivamente conseguiti e un rafforzamento degli obblighi di trasparenza e dei controlli gestionali. </w:t>
      </w:r>
    </w:p>
    <w:p w:rsidR="00121CC5" w:rsidRPr="00551D56" w:rsidRDefault="00121CC5" w:rsidP="00551D56">
      <w:pPr>
        <w:spacing w:after="120"/>
        <w:jc w:val="both"/>
        <w:rPr>
          <w:rFonts w:ascii="Arial" w:hAnsi="Arial" w:cs="Arial"/>
        </w:rPr>
      </w:pPr>
      <w:r w:rsidRPr="00551D56">
        <w:rPr>
          <w:rFonts w:ascii="Arial" w:hAnsi="Arial" w:cs="Arial"/>
        </w:rPr>
        <w:t>E, proprio da una forte razionalizzazione del sistema delle stazioni appaltanti parte ogni altra riforma che abbia l’ambizione di incidere fortemente sul mercato degli appalti pubblici.</w:t>
      </w:r>
    </w:p>
    <w:p w:rsidR="00551D56" w:rsidRDefault="00121CC5" w:rsidP="00551D56">
      <w:pPr>
        <w:spacing w:after="120"/>
        <w:jc w:val="both"/>
        <w:rPr>
          <w:rFonts w:ascii="Arial" w:hAnsi="Arial" w:cs="Arial"/>
        </w:rPr>
      </w:pPr>
      <w:r w:rsidRPr="00551D56">
        <w:rPr>
          <w:rFonts w:ascii="Arial" w:hAnsi="Arial" w:cs="Arial"/>
        </w:rPr>
        <w:t>La forte riduzione del numero delle Stazioni appaltanti è un caposaldo irrinunciabile di qualsiasi ulteri</w:t>
      </w:r>
      <w:r w:rsidR="00EF30E0">
        <w:rPr>
          <w:rFonts w:ascii="Arial" w:hAnsi="Arial" w:cs="Arial"/>
        </w:rPr>
        <w:t>ore ragionamento sull’argomento:</w:t>
      </w:r>
      <w:r w:rsidRPr="00551D56">
        <w:rPr>
          <w:rFonts w:ascii="Arial" w:hAnsi="Arial" w:cs="Arial"/>
        </w:rPr>
        <w:t xml:space="preserve"> infatti da questa ci dovremo a</w:t>
      </w:r>
      <w:r w:rsidR="00AB3043">
        <w:rPr>
          <w:rFonts w:ascii="Arial" w:hAnsi="Arial" w:cs="Arial"/>
        </w:rPr>
        <w:t>spettare strutture più complesse</w:t>
      </w:r>
      <w:r w:rsidR="00EF30E0">
        <w:rPr>
          <w:rFonts w:ascii="Arial" w:hAnsi="Arial" w:cs="Arial"/>
        </w:rPr>
        <w:t xml:space="preserve"> ed</w:t>
      </w:r>
      <w:r w:rsidRPr="00551D56">
        <w:rPr>
          <w:rFonts w:ascii="Arial" w:hAnsi="Arial" w:cs="Arial"/>
        </w:rPr>
        <w:t xml:space="preserve"> in grado di gestire</w:t>
      </w:r>
      <w:r w:rsidR="00EF30E0">
        <w:rPr>
          <w:rFonts w:ascii="Arial" w:hAnsi="Arial" w:cs="Arial"/>
        </w:rPr>
        <w:t>,</w:t>
      </w:r>
      <w:r w:rsidRPr="00551D56">
        <w:rPr>
          <w:rFonts w:ascii="Arial" w:hAnsi="Arial" w:cs="Arial"/>
        </w:rPr>
        <w:t xml:space="preserve"> professionalmente</w:t>
      </w:r>
      <w:r w:rsidR="00EF30E0">
        <w:rPr>
          <w:rFonts w:ascii="Arial" w:hAnsi="Arial" w:cs="Arial"/>
        </w:rPr>
        <w:t>, ogni fase della gara:</w:t>
      </w:r>
      <w:r w:rsidRPr="00551D56">
        <w:rPr>
          <w:rFonts w:ascii="Arial" w:hAnsi="Arial" w:cs="Arial"/>
        </w:rPr>
        <w:t xml:space="preserve"> dalla scelta del sistema di gara più opportuno</w:t>
      </w:r>
      <w:r w:rsidR="00EF30E0">
        <w:rPr>
          <w:rFonts w:ascii="Arial" w:hAnsi="Arial" w:cs="Arial"/>
        </w:rPr>
        <w:t>,</w:t>
      </w:r>
      <w:r w:rsidRPr="00551D56">
        <w:rPr>
          <w:rFonts w:ascii="Arial" w:hAnsi="Arial" w:cs="Arial"/>
        </w:rPr>
        <w:t xml:space="preserve"> alla qualificazione dei concorrenti, dalla sce</w:t>
      </w:r>
      <w:r w:rsidR="00AB3043">
        <w:rPr>
          <w:rFonts w:ascii="Arial" w:hAnsi="Arial" w:cs="Arial"/>
        </w:rPr>
        <w:t>lta dell’offerta più vantaggiosa</w:t>
      </w:r>
      <w:r w:rsidRPr="00551D56">
        <w:rPr>
          <w:rFonts w:ascii="Arial" w:hAnsi="Arial" w:cs="Arial"/>
        </w:rPr>
        <w:t xml:space="preserve"> per l’amministrazione</w:t>
      </w:r>
      <w:r w:rsidR="00EF30E0">
        <w:rPr>
          <w:rFonts w:ascii="Arial" w:hAnsi="Arial" w:cs="Arial"/>
        </w:rPr>
        <w:t>,</w:t>
      </w:r>
      <w:r w:rsidRPr="00551D56">
        <w:rPr>
          <w:rFonts w:ascii="Arial" w:hAnsi="Arial" w:cs="Arial"/>
        </w:rPr>
        <w:t xml:space="preserve"> alla gestione efficace del contenzioso.</w:t>
      </w:r>
    </w:p>
    <w:p w:rsidR="0007191F" w:rsidRPr="00551D56" w:rsidRDefault="0007191F" w:rsidP="00551D56">
      <w:pPr>
        <w:spacing w:after="120"/>
        <w:jc w:val="both"/>
        <w:rPr>
          <w:rFonts w:ascii="Arial" w:hAnsi="Arial" w:cs="Arial"/>
        </w:rPr>
      </w:pPr>
      <w:r w:rsidRPr="00551D56">
        <w:rPr>
          <w:rFonts w:ascii="Arial" w:hAnsi="Arial" w:cs="Arial"/>
        </w:rPr>
        <w:t xml:space="preserve"> </w:t>
      </w:r>
    </w:p>
    <w:p w:rsidR="00551D56" w:rsidRPr="00551D56" w:rsidRDefault="00551D56" w:rsidP="00551D56">
      <w:pPr>
        <w:spacing w:after="120"/>
        <w:jc w:val="both"/>
        <w:rPr>
          <w:rFonts w:ascii="Arial" w:hAnsi="Arial" w:cs="Arial"/>
          <w:b/>
        </w:rPr>
      </w:pPr>
      <w:r w:rsidRPr="00551D56">
        <w:rPr>
          <w:rFonts w:ascii="Arial" w:hAnsi="Arial" w:cs="Arial"/>
          <w:b/>
        </w:rPr>
        <w:t>Contratti Collettivi Nazionali di Lavoro</w:t>
      </w:r>
    </w:p>
    <w:p w:rsidR="005C47DF" w:rsidRDefault="0007191F" w:rsidP="00551D56">
      <w:pPr>
        <w:spacing w:after="120"/>
        <w:jc w:val="both"/>
        <w:rPr>
          <w:rFonts w:ascii="Arial" w:hAnsi="Arial" w:cs="Arial"/>
        </w:rPr>
      </w:pPr>
      <w:r w:rsidRPr="00551D56">
        <w:rPr>
          <w:rFonts w:ascii="Arial" w:hAnsi="Arial" w:cs="Arial"/>
        </w:rPr>
        <w:t>Tra i principi che devono guidare l’aggiudicazione dell’appalto, le Direttive indicano il rispetto degli obblighi in materia ambientale, sociale e del lavoro. Con specifica attenzione agli obblighi in materia di lavoro, si fa riferimento all’applicazione del Contratto Collettiv</w:t>
      </w:r>
      <w:r w:rsidR="00EF30E0">
        <w:rPr>
          <w:rFonts w:ascii="Arial" w:hAnsi="Arial" w:cs="Arial"/>
        </w:rPr>
        <w:t>o di Lavoro (art. 18,comma 2). T</w:t>
      </w:r>
      <w:r w:rsidRPr="00551D56">
        <w:rPr>
          <w:rFonts w:ascii="Arial" w:hAnsi="Arial" w:cs="Arial"/>
        </w:rPr>
        <w:t>ale misura è condivisibile</w:t>
      </w:r>
      <w:r w:rsidR="00EF30E0">
        <w:rPr>
          <w:rFonts w:ascii="Arial" w:hAnsi="Arial" w:cs="Arial"/>
        </w:rPr>
        <w:t>, ove</w:t>
      </w:r>
      <w:r w:rsidRPr="00551D56">
        <w:rPr>
          <w:rFonts w:ascii="Arial" w:hAnsi="Arial" w:cs="Arial"/>
        </w:rPr>
        <w:t xml:space="preserve"> sia chiarito che il CCNL cui si fa riferimento è ogni possibile contratto collettivo di lavoro coerente con l’attività ( lavoro o servizi</w:t>
      </w:r>
      <w:r w:rsidR="00551D56">
        <w:rPr>
          <w:rFonts w:ascii="Arial" w:hAnsi="Arial" w:cs="Arial"/>
        </w:rPr>
        <w:t>o) realmente svolta in cantiere.</w:t>
      </w:r>
    </w:p>
    <w:p w:rsidR="00551D56" w:rsidRPr="00551D56" w:rsidRDefault="00551D56" w:rsidP="00551D56">
      <w:pPr>
        <w:spacing w:after="120"/>
        <w:jc w:val="both"/>
        <w:rPr>
          <w:rFonts w:ascii="Arial" w:hAnsi="Arial" w:cs="Arial"/>
        </w:rPr>
      </w:pPr>
    </w:p>
    <w:p w:rsidR="00551D56" w:rsidRPr="00551D56" w:rsidRDefault="00551D56" w:rsidP="00551D56">
      <w:pPr>
        <w:spacing w:after="120"/>
        <w:jc w:val="both"/>
        <w:rPr>
          <w:rFonts w:ascii="Arial" w:hAnsi="Arial" w:cs="Arial"/>
          <w:b/>
        </w:rPr>
      </w:pPr>
      <w:r w:rsidRPr="00551D56">
        <w:rPr>
          <w:rFonts w:ascii="Arial" w:hAnsi="Arial" w:cs="Arial"/>
          <w:b/>
        </w:rPr>
        <w:t>Procedure negoziate</w:t>
      </w:r>
    </w:p>
    <w:p w:rsidR="00E7593A" w:rsidRPr="00551D56" w:rsidRDefault="00E7593A" w:rsidP="00551D56">
      <w:pPr>
        <w:jc w:val="both"/>
        <w:rPr>
          <w:rFonts w:ascii="Arial" w:hAnsi="Arial" w:cs="Arial"/>
        </w:rPr>
      </w:pPr>
      <w:r w:rsidRPr="00551D56">
        <w:rPr>
          <w:rFonts w:ascii="Arial" w:hAnsi="Arial" w:cs="Arial"/>
        </w:rPr>
        <w:t>La norma nazionale ha, di fatto, liberalizzato l’utilizzo delle procedure negoziate senza previa pubblicazione di bando, negli appalti di lavori, consentendone l’applicazione a gare di importo fino ad 1 milione di euro.</w:t>
      </w:r>
    </w:p>
    <w:p w:rsidR="00E7593A" w:rsidRPr="00551D56" w:rsidRDefault="00E7593A" w:rsidP="00551D56">
      <w:pPr>
        <w:jc w:val="both"/>
        <w:rPr>
          <w:rFonts w:ascii="Arial" w:hAnsi="Arial" w:cs="Arial"/>
        </w:rPr>
      </w:pPr>
      <w:r w:rsidRPr="00551D56">
        <w:rPr>
          <w:rFonts w:ascii="Arial" w:hAnsi="Arial" w:cs="Arial"/>
        </w:rPr>
        <w:t>Secondo l</w:t>
      </w:r>
      <w:r w:rsidR="00AB3043">
        <w:rPr>
          <w:rFonts w:ascii="Arial" w:hAnsi="Arial" w:cs="Arial"/>
        </w:rPr>
        <w:t>’ultima</w:t>
      </w:r>
      <w:r w:rsidRPr="00551D56">
        <w:rPr>
          <w:rFonts w:ascii="Arial" w:hAnsi="Arial" w:cs="Arial"/>
        </w:rPr>
        <w:t xml:space="preserve"> relazione annuale dell’AVCP quasi la metà degli appalti di lavori sono stati aggiudicati con tale metodo, con grave nocumento per il principio di tutela della concorrenza e della trasparenza dei procedimenti amministrativi.</w:t>
      </w:r>
    </w:p>
    <w:p w:rsidR="00E7593A" w:rsidRPr="00551D56" w:rsidRDefault="00E7593A" w:rsidP="00551D56">
      <w:pPr>
        <w:jc w:val="both"/>
        <w:rPr>
          <w:rFonts w:ascii="Arial" w:hAnsi="Arial" w:cs="Arial"/>
        </w:rPr>
      </w:pPr>
      <w:r w:rsidRPr="00551D56">
        <w:rPr>
          <w:rFonts w:ascii="Arial" w:hAnsi="Arial" w:cs="Arial"/>
        </w:rPr>
        <w:t xml:space="preserve">Anche alla luce della maggiore semplicità nella gestione dei bandi gara che l’utilizzo dell’informatica può garantire, sarebbe opportuno restringere l’utilizzo libero della procedura negoziata senza previa pubblicazione ad importi fino a 250.000 Euro, prevedendo, </w:t>
      </w:r>
      <w:r w:rsidR="00EF30E0">
        <w:rPr>
          <w:rFonts w:ascii="Arial" w:hAnsi="Arial" w:cs="Arial"/>
        </w:rPr>
        <w:t>contestualmente</w:t>
      </w:r>
      <w:r w:rsidRPr="00551D56">
        <w:rPr>
          <w:rFonts w:ascii="Arial" w:hAnsi="Arial" w:cs="Arial"/>
        </w:rPr>
        <w:t>, l’obbligo di pubblicizzare, successivamente alla aggiudicazione, su una bacheca virtuale (es. AVCPass - Trasparenza), i nominativi delle imprese invitate in modo da verificare l’applicazione di criteri di rotazione.</w:t>
      </w:r>
    </w:p>
    <w:p w:rsidR="0007191F" w:rsidRDefault="00E7593A" w:rsidP="00551D56">
      <w:pPr>
        <w:spacing w:after="120"/>
        <w:jc w:val="both"/>
        <w:rPr>
          <w:rFonts w:ascii="Arial" w:hAnsi="Arial" w:cs="Arial"/>
        </w:rPr>
      </w:pPr>
      <w:r w:rsidRPr="00551D56">
        <w:rPr>
          <w:rFonts w:ascii="Arial" w:hAnsi="Arial" w:cs="Arial"/>
        </w:rPr>
        <w:t>Per gli appalti di importo superiore ai 250.000 euro dovrebbe vigere, invece, il divieto dell’utilizzo delle procedure negoziate o ristrette (tranne per le eccezioni previste dalle Direttive).</w:t>
      </w:r>
    </w:p>
    <w:p w:rsidR="00551D56" w:rsidRPr="00551D56" w:rsidRDefault="00551D56" w:rsidP="00551D56">
      <w:pPr>
        <w:spacing w:after="120"/>
        <w:jc w:val="both"/>
        <w:rPr>
          <w:rFonts w:ascii="Arial" w:hAnsi="Arial" w:cs="Arial"/>
        </w:rPr>
      </w:pPr>
    </w:p>
    <w:p w:rsidR="00551D56" w:rsidRPr="00551D56" w:rsidRDefault="00551D56" w:rsidP="00551D56">
      <w:pPr>
        <w:spacing w:after="120"/>
        <w:jc w:val="both"/>
        <w:rPr>
          <w:rFonts w:ascii="Arial" w:hAnsi="Arial" w:cs="Arial"/>
          <w:b/>
        </w:rPr>
      </w:pPr>
      <w:r w:rsidRPr="00551D56">
        <w:rPr>
          <w:rFonts w:ascii="Arial" w:hAnsi="Arial" w:cs="Arial"/>
          <w:b/>
        </w:rPr>
        <w:t>Suddivisione in Lotti</w:t>
      </w:r>
    </w:p>
    <w:p w:rsidR="00E7593A" w:rsidRPr="00551D56" w:rsidRDefault="00E7593A" w:rsidP="00551D56">
      <w:pPr>
        <w:jc w:val="both"/>
        <w:rPr>
          <w:rFonts w:ascii="Arial" w:hAnsi="Arial" w:cs="Arial"/>
        </w:rPr>
      </w:pPr>
      <w:r w:rsidRPr="00551D56">
        <w:rPr>
          <w:rFonts w:ascii="Arial" w:hAnsi="Arial" w:cs="Arial"/>
        </w:rPr>
        <w:t>La riduzione del numero delle stazioni appaltanti non deve diventare un mezzo per aggirare la previsione della divisione in lotti, facendo prevalere la logica degli accorpamenti tipica delle centrali di acquisto che, se può ben essere letta come utile all’economia di scala nelle forniture, certamente male si adatta alla particolarità dei lavori.</w:t>
      </w:r>
    </w:p>
    <w:p w:rsidR="00E7593A" w:rsidRPr="00551D56" w:rsidRDefault="00E7593A" w:rsidP="00551D56">
      <w:pPr>
        <w:spacing w:after="120"/>
        <w:jc w:val="both"/>
        <w:rPr>
          <w:rFonts w:ascii="Arial" w:hAnsi="Arial" w:cs="Arial"/>
        </w:rPr>
      </w:pPr>
      <w:r w:rsidRPr="00551D56">
        <w:rPr>
          <w:rFonts w:ascii="Arial" w:hAnsi="Arial" w:cs="Arial"/>
        </w:rPr>
        <w:t xml:space="preserve">Nel settore dei lavori, infatti, la centralizzazione della committenza dovrebbe essere di supporto proprio alla capacità dell’ente aggiudicatario di individuare l’autonoma funzionalità dei Lotti, siano </w:t>
      </w:r>
      <w:r w:rsidRPr="00551D56">
        <w:rPr>
          <w:rFonts w:ascii="Arial" w:hAnsi="Arial" w:cs="Arial"/>
        </w:rPr>
        <w:lastRenderedPageBreak/>
        <w:t>essi orizzontali o verticali, consentendo di gestire con maggiori mezzi tecnici e professionali l’intera gara e poter, successivamente, controllare e supervisionare anche la fase esecutiva.</w:t>
      </w:r>
    </w:p>
    <w:p w:rsidR="00551D56" w:rsidRDefault="00551D56" w:rsidP="00551D56">
      <w:pPr>
        <w:spacing w:after="120"/>
        <w:jc w:val="both"/>
        <w:rPr>
          <w:rFonts w:ascii="Arial" w:hAnsi="Arial" w:cs="Arial"/>
        </w:rPr>
      </w:pPr>
    </w:p>
    <w:p w:rsidR="00551D56" w:rsidRPr="00551D56" w:rsidRDefault="00551D56" w:rsidP="00551D56">
      <w:pPr>
        <w:spacing w:after="120"/>
        <w:jc w:val="both"/>
        <w:rPr>
          <w:rFonts w:ascii="Arial" w:hAnsi="Arial" w:cs="Arial"/>
          <w:b/>
        </w:rPr>
      </w:pPr>
      <w:r w:rsidRPr="00551D56">
        <w:rPr>
          <w:rFonts w:ascii="Arial" w:hAnsi="Arial" w:cs="Arial"/>
          <w:b/>
        </w:rPr>
        <w:t>Semplificazione della documentazione di gara</w:t>
      </w:r>
    </w:p>
    <w:p w:rsidR="000B4FD4" w:rsidRDefault="000B4FD4" w:rsidP="00551D56">
      <w:pPr>
        <w:spacing w:after="120"/>
        <w:jc w:val="both"/>
        <w:rPr>
          <w:rFonts w:ascii="Arial" w:hAnsi="Arial" w:cs="Arial"/>
        </w:rPr>
      </w:pPr>
      <w:r w:rsidRPr="00551D56">
        <w:rPr>
          <w:rFonts w:ascii="Arial" w:hAnsi="Arial" w:cs="Arial"/>
        </w:rPr>
        <w:t xml:space="preserve">L’efficienza delle Stazioni appaltanti “accentrate” dovrebbe consentire di ridurre la documentazione di gara contenuta nella busta cosiddetta “amministrativa” a due soli fogli: la dichiarazione di possesso di tutti i requisiti requisiti richiesti in sede di gara e l’AVCPass. Ciò anche in coerenza con </w:t>
      </w:r>
      <w:r w:rsidR="00AB3043">
        <w:rPr>
          <w:rFonts w:ascii="Arial" w:hAnsi="Arial" w:cs="Arial"/>
        </w:rPr>
        <w:t>il recente regolamento</w:t>
      </w:r>
      <w:r w:rsidRPr="00551D56">
        <w:rPr>
          <w:rFonts w:ascii="Arial" w:hAnsi="Arial" w:cs="Arial"/>
        </w:rPr>
        <w:t xml:space="preserve"> in materi</w:t>
      </w:r>
      <w:r w:rsidR="00D84667" w:rsidRPr="00551D56">
        <w:rPr>
          <w:rFonts w:ascii="Arial" w:hAnsi="Arial" w:cs="Arial"/>
        </w:rPr>
        <w:t>a</w:t>
      </w:r>
      <w:r w:rsidRPr="00551D56">
        <w:rPr>
          <w:rFonts w:ascii="Arial" w:hAnsi="Arial" w:cs="Arial"/>
        </w:rPr>
        <w:t xml:space="preserve"> di </w:t>
      </w:r>
      <w:r w:rsidR="00D84667" w:rsidRPr="00551D56">
        <w:rPr>
          <w:rFonts w:ascii="Arial" w:hAnsi="Arial" w:cs="Arial"/>
        </w:rPr>
        <w:t>“</w:t>
      </w:r>
      <w:r w:rsidRPr="00551D56">
        <w:rPr>
          <w:rFonts w:ascii="Arial" w:hAnsi="Arial" w:cs="Arial"/>
        </w:rPr>
        <w:t>docu</w:t>
      </w:r>
      <w:r w:rsidR="00D84667" w:rsidRPr="00551D56">
        <w:rPr>
          <w:rFonts w:ascii="Arial" w:hAnsi="Arial" w:cs="Arial"/>
        </w:rPr>
        <w:t>mento unico di gara”</w:t>
      </w:r>
      <w:r w:rsidRPr="00551D56">
        <w:rPr>
          <w:rFonts w:ascii="Arial" w:hAnsi="Arial" w:cs="Arial"/>
        </w:rPr>
        <w:t xml:space="preserve">. </w:t>
      </w:r>
    </w:p>
    <w:p w:rsidR="00551D56" w:rsidRPr="00551D56" w:rsidRDefault="00551D56" w:rsidP="00551D56">
      <w:pPr>
        <w:spacing w:after="120"/>
        <w:jc w:val="both"/>
        <w:rPr>
          <w:rFonts w:ascii="Arial" w:hAnsi="Arial" w:cs="Arial"/>
        </w:rPr>
      </w:pPr>
    </w:p>
    <w:p w:rsidR="00551D56" w:rsidRPr="00551D56" w:rsidRDefault="00551D56" w:rsidP="00551D56">
      <w:pPr>
        <w:spacing w:after="120"/>
        <w:jc w:val="both"/>
        <w:rPr>
          <w:rFonts w:ascii="Arial" w:hAnsi="Arial" w:cs="Arial"/>
          <w:b/>
        </w:rPr>
      </w:pPr>
      <w:r w:rsidRPr="00551D56">
        <w:rPr>
          <w:rFonts w:ascii="Arial" w:hAnsi="Arial" w:cs="Arial"/>
          <w:b/>
        </w:rPr>
        <w:t>Certificati di esecuzione lavori</w:t>
      </w:r>
    </w:p>
    <w:p w:rsidR="00D84667" w:rsidRDefault="00D84667" w:rsidP="00551D56">
      <w:pPr>
        <w:spacing w:after="120"/>
        <w:jc w:val="both"/>
        <w:rPr>
          <w:rFonts w:ascii="Arial" w:hAnsi="Arial" w:cs="Arial"/>
        </w:rPr>
      </w:pPr>
      <w:r w:rsidRPr="00551D56">
        <w:rPr>
          <w:rFonts w:ascii="Arial" w:hAnsi="Arial" w:cs="Arial"/>
        </w:rPr>
        <w:t>In coerenza con quanto previsto dall’articolo 1, comma 1, lettera uu) della legge Delega,</w:t>
      </w:r>
      <w:r w:rsidR="00EF30E0">
        <w:rPr>
          <w:rFonts w:ascii="Arial" w:hAnsi="Arial" w:cs="Arial"/>
        </w:rPr>
        <w:t xml:space="preserve"> occorre</w:t>
      </w:r>
      <w:r w:rsidRPr="00551D56">
        <w:rPr>
          <w:rFonts w:ascii="Arial" w:hAnsi="Arial" w:cs="Arial"/>
        </w:rPr>
        <w:t xml:space="preserve"> prevedere che i Certificati di Esecuzione dei Lavori (CEL) vengano redatti in modo tale che si possano attribuire i lavori stessi (almeno ai fini della dimostrazione della capacità tecnica) solo </w:t>
      </w:r>
      <w:r w:rsidR="00EF30E0">
        <w:rPr>
          <w:rFonts w:ascii="Arial" w:hAnsi="Arial" w:cs="Arial"/>
        </w:rPr>
        <w:t>all’impresa che</w:t>
      </w:r>
      <w:r w:rsidRPr="00551D56">
        <w:rPr>
          <w:rFonts w:ascii="Arial" w:hAnsi="Arial" w:cs="Arial"/>
        </w:rPr>
        <w:t xml:space="preserve"> li ha realmente</w:t>
      </w:r>
      <w:r w:rsidR="00EF30E0">
        <w:rPr>
          <w:rFonts w:ascii="Arial" w:hAnsi="Arial" w:cs="Arial"/>
        </w:rPr>
        <w:t xml:space="preserve"> e direttamente</w:t>
      </w:r>
      <w:r w:rsidRPr="00551D56">
        <w:rPr>
          <w:rFonts w:ascii="Arial" w:hAnsi="Arial" w:cs="Arial"/>
        </w:rPr>
        <w:t xml:space="preserve"> svolti e non ad altri.</w:t>
      </w:r>
    </w:p>
    <w:p w:rsidR="00551D56" w:rsidRPr="00551D56" w:rsidRDefault="00551D56" w:rsidP="00551D56">
      <w:pPr>
        <w:spacing w:after="120"/>
        <w:jc w:val="both"/>
        <w:rPr>
          <w:rFonts w:ascii="Arial" w:hAnsi="Arial" w:cs="Arial"/>
        </w:rPr>
      </w:pPr>
    </w:p>
    <w:p w:rsidR="00551D56" w:rsidRPr="00551D56" w:rsidRDefault="00551D56" w:rsidP="00551D56">
      <w:pPr>
        <w:spacing w:after="120"/>
        <w:jc w:val="both"/>
        <w:rPr>
          <w:rFonts w:ascii="Arial" w:hAnsi="Arial" w:cs="Arial"/>
          <w:b/>
        </w:rPr>
      </w:pPr>
      <w:r w:rsidRPr="00551D56">
        <w:rPr>
          <w:rFonts w:ascii="Arial" w:hAnsi="Arial" w:cs="Arial"/>
          <w:b/>
        </w:rPr>
        <w:t>Avvalimento</w:t>
      </w:r>
    </w:p>
    <w:p w:rsidR="00D84667" w:rsidRDefault="00F0168A" w:rsidP="00551D56">
      <w:pPr>
        <w:spacing w:after="120"/>
        <w:jc w:val="both"/>
        <w:rPr>
          <w:rFonts w:ascii="Arial" w:hAnsi="Arial" w:cs="Arial"/>
        </w:rPr>
      </w:pPr>
      <w:r w:rsidRPr="00551D56">
        <w:rPr>
          <w:rFonts w:ascii="Arial" w:hAnsi="Arial" w:cs="Arial"/>
        </w:rPr>
        <w:t xml:space="preserve">In coerenza con quanto previsto dall’articolo 1, comma 1, lettera zz) della legge Delega, </w:t>
      </w:r>
      <w:r w:rsidR="00EF30E0">
        <w:rPr>
          <w:rFonts w:ascii="Arial" w:hAnsi="Arial" w:cs="Arial"/>
        </w:rPr>
        <w:t xml:space="preserve">occorre </w:t>
      </w:r>
      <w:r w:rsidRPr="00551D56">
        <w:rPr>
          <w:rFonts w:ascii="Arial" w:hAnsi="Arial" w:cs="Arial"/>
        </w:rPr>
        <w:t xml:space="preserve">prevedere che l’eventuale contratto di avvalimento indichi nel dettaglio le risorse e i mezzi prestati, con particolare riguardo ai casi in cui l’oggetto di avvalimento sia costituito da certificazioni di qualità o certificati attestanti il possesso di adeguata </w:t>
      </w:r>
      <w:r w:rsidR="00AB3043">
        <w:rPr>
          <w:rFonts w:ascii="Arial" w:hAnsi="Arial" w:cs="Arial"/>
        </w:rPr>
        <w:t>organizzazione imprenditoriale,</w:t>
      </w:r>
      <w:r w:rsidRPr="00551D56">
        <w:rPr>
          <w:rFonts w:ascii="Arial" w:hAnsi="Arial" w:cs="Arial"/>
        </w:rPr>
        <w:t xml:space="preserve"> rafforzando gli strumenti di verifica circa l’effettivo possesso dei requisiti e delle risorse oggetto di avvalimento da parte dell’impresa ausiliaria nonché l’effettivo impiego delle risorse umane nell’esecuzione dell’appalto o attraverso il distacco del personale, consentito dalle norme vigenti in caso di avvalimento infragruppo o tra imprese costituite in rete, oppure attraverso l’utilizzo delle medesime risorse in subappalto.</w:t>
      </w:r>
    </w:p>
    <w:p w:rsidR="00551D56" w:rsidRPr="00551D56" w:rsidRDefault="00551D56" w:rsidP="00551D56">
      <w:pPr>
        <w:spacing w:after="120"/>
        <w:jc w:val="both"/>
        <w:rPr>
          <w:rFonts w:ascii="Arial" w:hAnsi="Arial" w:cs="Arial"/>
        </w:rPr>
      </w:pPr>
    </w:p>
    <w:p w:rsidR="00551D56" w:rsidRPr="00551D56" w:rsidRDefault="00551D56" w:rsidP="00551D56">
      <w:pPr>
        <w:spacing w:after="120"/>
        <w:jc w:val="both"/>
        <w:rPr>
          <w:rFonts w:ascii="Arial" w:hAnsi="Arial" w:cs="Arial"/>
          <w:b/>
        </w:rPr>
      </w:pPr>
      <w:r w:rsidRPr="00551D56">
        <w:rPr>
          <w:rFonts w:ascii="Arial" w:hAnsi="Arial" w:cs="Arial"/>
          <w:b/>
        </w:rPr>
        <w:t>Contenzioso</w:t>
      </w:r>
    </w:p>
    <w:p w:rsidR="003C0B24" w:rsidRPr="00551D56" w:rsidRDefault="003C0B24" w:rsidP="00551D56">
      <w:pPr>
        <w:jc w:val="both"/>
        <w:rPr>
          <w:rFonts w:ascii="Arial" w:hAnsi="Arial" w:cs="Arial"/>
        </w:rPr>
      </w:pPr>
      <w:r w:rsidRPr="00551D56">
        <w:rPr>
          <w:rFonts w:ascii="Arial" w:hAnsi="Arial" w:cs="Arial"/>
        </w:rPr>
        <w:t>L’utilizzo strumentale del contenzioso, oggi favorito anche dalla complessità del quadro normativo</w:t>
      </w:r>
      <w:r w:rsidR="00EF30E0">
        <w:rPr>
          <w:rFonts w:ascii="Arial" w:hAnsi="Arial" w:cs="Arial"/>
        </w:rPr>
        <w:t>,</w:t>
      </w:r>
      <w:r w:rsidRPr="00551D56">
        <w:rPr>
          <w:rFonts w:ascii="Arial" w:hAnsi="Arial" w:cs="Arial"/>
        </w:rPr>
        <w:t xml:space="preserve"> resta comunque una delle principali cause di ritardi nell’esecuzione degli appalti. </w:t>
      </w:r>
    </w:p>
    <w:p w:rsidR="003C0B24" w:rsidRPr="00551D56" w:rsidRDefault="003C0B24" w:rsidP="00551D56">
      <w:pPr>
        <w:jc w:val="both"/>
        <w:rPr>
          <w:rFonts w:ascii="Arial" w:hAnsi="Arial" w:cs="Arial"/>
        </w:rPr>
      </w:pPr>
      <w:r w:rsidRPr="00551D56">
        <w:rPr>
          <w:rFonts w:ascii="Arial" w:hAnsi="Arial" w:cs="Arial"/>
        </w:rPr>
        <w:t>Per ridurre il contenzioso si potrebbe istituire l’obbligo di rivolgersi ad arbitrati con codici di procedura semplici sull’esempio dell’attuale precontenzioso A.N.AC., articolato in strutture regionali composte di esperti in appalti nominati dalla PA (utilizzando ad esempio le strutture degli attuali osservatori regionali) alla cui attività partecipino, con funzione puramente referente, soggetti nominati dalle associazioni di categoria maggiormente rappresentative in ambito locale.</w:t>
      </w:r>
    </w:p>
    <w:p w:rsidR="003C0B24" w:rsidRPr="00551D56" w:rsidRDefault="003C0B24" w:rsidP="00551D56">
      <w:pPr>
        <w:jc w:val="both"/>
        <w:rPr>
          <w:rFonts w:ascii="Arial" w:hAnsi="Arial" w:cs="Arial"/>
        </w:rPr>
      </w:pPr>
      <w:r w:rsidRPr="00551D56">
        <w:rPr>
          <w:rFonts w:ascii="Arial" w:hAnsi="Arial" w:cs="Arial"/>
        </w:rPr>
        <w:t>Il parere di precontenzioso dovrà essere fornito entro 20 giorni.</w:t>
      </w:r>
    </w:p>
    <w:p w:rsidR="003C0B24" w:rsidRPr="00551D56" w:rsidRDefault="003C0B24" w:rsidP="00551D56">
      <w:pPr>
        <w:jc w:val="both"/>
        <w:rPr>
          <w:rFonts w:ascii="Arial" w:hAnsi="Arial" w:cs="Arial"/>
        </w:rPr>
      </w:pPr>
      <w:r w:rsidRPr="00551D56">
        <w:rPr>
          <w:rFonts w:ascii="Arial" w:hAnsi="Arial" w:cs="Arial"/>
        </w:rPr>
        <w:t>Trascorsi i 20 giorni necessari per il precontenzioso la gara sarà aggiudicata in via definitiva.</w:t>
      </w:r>
    </w:p>
    <w:p w:rsidR="003C0B24" w:rsidRPr="00551D56" w:rsidRDefault="003C0B24" w:rsidP="00551D56">
      <w:pPr>
        <w:jc w:val="both"/>
        <w:rPr>
          <w:rFonts w:ascii="Arial" w:hAnsi="Arial" w:cs="Arial"/>
        </w:rPr>
      </w:pPr>
      <w:r w:rsidRPr="00551D56">
        <w:rPr>
          <w:rFonts w:ascii="Arial" w:hAnsi="Arial" w:cs="Arial"/>
        </w:rPr>
        <w:t>Le decisioni arbitrali non saranno vincolanti</w:t>
      </w:r>
      <w:r w:rsidR="00EF30E0">
        <w:rPr>
          <w:rFonts w:ascii="Arial" w:hAnsi="Arial" w:cs="Arial"/>
        </w:rPr>
        <w:t>, ma</w:t>
      </w:r>
      <w:r w:rsidRPr="00551D56">
        <w:rPr>
          <w:rFonts w:ascii="Arial" w:hAnsi="Arial" w:cs="Arial"/>
        </w:rPr>
        <w:t xml:space="preserve"> nel caso in cui il soccombente decida di ricorrere al giudice amministrativo, se verrà confermata la decisione espressa in sede di arbitrato, allo stesso saranno addebitate le spese di giudizio della controparte a cui si sommerà una sanzione per la causa temeraria pari al 10% dell’importo della gara. </w:t>
      </w:r>
    </w:p>
    <w:p w:rsidR="003C0B24" w:rsidRPr="00551D56" w:rsidRDefault="003C0B24" w:rsidP="00551D56">
      <w:pPr>
        <w:jc w:val="both"/>
        <w:rPr>
          <w:rFonts w:ascii="Arial" w:hAnsi="Arial" w:cs="Arial"/>
        </w:rPr>
      </w:pPr>
      <w:r w:rsidRPr="00551D56">
        <w:rPr>
          <w:rFonts w:ascii="Arial" w:hAnsi="Arial" w:cs="Arial"/>
        </w:rPr>
        <w:t>In sede di deposito del ricorso al TAR dovrà essere depositata, da parte del ricorrente, una cauzione a copertura di tali oneri.</w:t>
      </w:r>
    </w:p>
    <w:p w:rsidR="00F0168A" w:rsidRPr="00551D56" w:rsidRDefault="003C0B24" w:rsidP="00551D56">
      <w:pPr>
        <w:spacing w:after="120"/>
        <w:jc w:val="both"/>
        <w:rPr>
          <w:rFonts w:ascii="Arial" w:hAnsi="Arial" w:cs="Arial"/>
        </w:rPr>
      </w:pPr>
      <w:r w:rsidRPr="00551D56">
        <w:rPr>
          <w:rFonts w:ascii="Arial" w:hAnsi="Arial" w:cs="Arial"/>
        </w:rPr>
        <w:t>Nel caso di ricorso al giudice amministrativo, l’aggiudicazione non potrà essere annullata ed, in caso di soccombenza della PA, sarà stabilito unicamente il ristoro del lucro cessante in misura prefissata normativamente.</w:t>
      </w:r>
    </w:p>
    <w:p w:rsidR="00E7593A" w:rsidRPr="00551D56" w:rsidRDefault="00E7593A" w:rsidP="00551D56">
      <w:pPr>
        <w:spacing w:after="120"/>
        <w:jc w:val="both"/>
        <w:rPr>
          <w:rFonts w:ascii="Arial" w:hAnsi="Arial" w:cs="Arial"/>
        </w:rPr>
      </w:pPr>
    </w:p>
    <w:p w:rsidR="00121CC5" w:rsidRPr="00551D56" w:rsidRDefault="00121CC5" w:rsidP="00551D56">
      <w:pPr>
        <w:jc w:val="both"/>
        <w:rPr>
          <w:rFonts w:ascii="Arial" w:hAnsi="Arial" w:cs="Arial"/>
        </w:rPr>
      </w:pPr>
    </w:p>
    <w:p w:rsidR="00121CC5" w:rsidRPr="00551D56" w:rsidRDefault="00121CC5" w:rsidP="00551D56">
      <w:pPr>
        <w:jc w:val="both"/>
        <w:rPr>
          <w:rFonts w:ascii="Arial" w:hAnsi="Arial" w:cs="Arial"/>
        </w:rPr>
      </w:pPr>
    </w:p>
    <w:sectPr w:rsidR="00121CC5" w:rsidRPr="00551D56" w:rsidSect="00F95D3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efaultTabStop w:val="708"/>
  <w:hyphenationZone w:val="283"/>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1CC5"/>
    <w:rsid w:val="0007191F"/>
    <w:rsid w:val="000B4FD4"/>
    <w:rsid w:val="00121CC5"/>
    <w:rsid w:val="003C0B24"/>
    <w:rsid w:val="004A05F6"/>
    <w:rsid w:val="00551D56"/>
    <w:rsid w:val="005C47DF"/>
    <w:rsid w:val="00AB3043"/>
    <w:rsid w:val="00C13921"/>
    <w:rsid w:val="00D84667"/>
    <w:rsid w:val="00E7593A"/>
    <w:rsid w:val="00EF30E0"/>
    <w:rsid w:val="00F0168A"/>
    <w:rsid w:val="00F95D3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Arial"/>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21CC5"/>
    <w:rPr>
      <w:rFonts w:ascii="Calibri" w:hAnsi="Calibri" w:cs="Times New Roman"/>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Arial"/>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21CC5"/>
    <w:rPr>
      <w:rFonts w:ascii="Calibri" w:hAnsi="Calibri" w:cs="Times New Roman"/>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1057</Words>
  <Characters>6027</Characters>
  <Application>Microsoft Office Word</Application>
  <DocSecurity>0</DocSecurity>
  <Lines>50</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7070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Ghelfi Massimo UI Torino</dc:creator>
  <cp:lastModifiedBy>Laura Pratalata</cp:lastModifiedBy>
  <cp:revision>2</cp:revision>
  <dcterms:created xsi:type="dcterms:W3CDTF">2016-02-05T14:43:00Z</dcterms:created>
  <dcterms:modified xsi:type="dcterms:W3CDTF">2016-02-05T14:43:00Z</dcterms:modified>
</cp:coreProperties>
</file>