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A1D89" w:rsidRPr="00A104BA" w:rsidRDefault="00282277" w:rsidP="008A1D89">
      <w:pPr>
        <w:spacing w:before="120" w:after="0" w:line="240" w:lineRule="auto"/>
        <w:jc w:val="center"/>
        <w:rPr>
          <w:b/>
          <w:color w:val="0070C0"/>
        </w:rPr>
      </w:pPr>
      <w:r w:rsidRPr="00A104BA">
        <w:rPr>
          <w:b/>
          <w:color w:val="0070C0"/>
        </w:rPr>
        <w:t>DDL RECANTE “CONVERSIONE IN LEGGE DEL DECRETO-LEGGE 20 GIUGNO 2017, N. 91, RECANTE DISPOSIZIONI URGENTI PER LA CRESCITA ECONOMICA NEL MEZZOGIORNO”</w:t>
      </w:r>
    </w:p>
    <w:p w:rsidR="008A1D89" w:rsidRPr="00A104BA" w:rsidRDefault="008A1D89" w:rsidP="008A1D89">
      <w:pPr>
        <w:spacing w:before="120" w:after="0" w:line="240" w:lineRule="auto"/>
        <w:jc w:val="center"/>
        <w:rPr>
          <w:b/>
          <w:color w:val="0070C0"/>
        </w:rPr>
      </w:pPr>
      <w:r w:rsidRPr="00A104BA">
        <w:rPr>
          <w:b/>
          <w:color w:val="0070C0"/>
        </w:rPr>
        <w:t>(AS 2860)</w:t>
      </w:r>
    </w:p>
    <w:p w:rsidR="008B3EA7" w:rsidRPr="00A104BA" w:rsidRDefault="008B3EA7" w:rsidP="008A1D89">
      <w:pPr>
        <w:spacing w:before="120" w:after="0" w:line="240" w:lineRule="auto"/>
        <w:jc w:val="center"/>
        <w:rPr>
          <w:b/>
          <w:color w:val="0070C0"/>
        </w:rPr>
      </w:pPr>
    </w:p>
    <w:p w:rsidR="008A1D89" w:rsidRDefault="008A1D89" w:rsidP="008A1D89">
      <w:pPr>
        <w:spacing w:before="120" w:after="0" w:line="240" w:lineRule="auto"/>
        <w:jc w:val="center"/>
        <w:rPr>
          <w:b/>
          <w:color w:val="0070C0"/>
        </w:rPr>
      </w:pPr>
      <w:r w:rsidRPr="00A104BA">
        <w:rPr>
          <w:b/>
          <w:color w:val="0070C0"/>
        </w:rPr>
        <w:t>INDICE EMENDAMENTI</w:t>
      </w:r>
    </w:p>
    <w:p w:rsidR="004159FC" w:rsidRPr="00A104BA" w:rsidRDefault="004159FC" w:rsidP="008A1D89">
      <w:pPr>
        <w:spacing w:before="120" w:after="0" w:line="240" w:lineRule="auto"/>
        <w:jc w:val="center"/>
        <w:rPr>
          <w:b/>
          <w:color w:val="0070C0"/>
        </w:rPr>
      </w:pPr>
    </w:p>
    <w:p w:rsidR="00ED48EC" w:rsidRDefault="00ED48EC" w:rsidP="00ED48EC">
      <w:pPr>
        <w:pStyle w:val="Paragrafoelenco"/>
        <w:numPr>
          <w:ilvl w:val="0"/>
          <w:numId w:val="3"/>
        </w:numPr>
        <w:spacing w:before="120" w:after="0" w:line="480" w:lineRule="auto"/>
        <w:rPr>
          <w:rFonts w:asciiTheme="minorHAnsi" w:hAnsiTheme="minorHAnsi"/>
          <w:b/>
          <w:color w:val="0070C0"/>
        </w:rPr>
      </w:pPr>
      <w:r w:rsidRPr="00A104BA">
        <w:rPr>
          <w:rFonts w:asciiTheme="minorHAnsi" w:hAnsiTheme="minorHAnsi"/>
          <w:b/>
          <w:color w:val="0070C0"/>
        </w:rPr>
        <w:t>ULTERIORE PROROGA TERMINI IPER-AMMORTAMENTO</w:t>
      </w:r>
      <w:r w:rsidR="001E7961">
        <w:rPr>
          <w:rFonts w:asciiTheme="minorHAnsi" w:hAnsiTheme="minorHAnsi"/>
          <w:b/>
          <w:color w:val="0070C0"/>
        </w:rPr>
        <w:t xml:space="preserve"> –</w:t>
      </w:r>
      <w:r w:rsidR="004159FC">
        <w:rPr>
          <w:rFonts w:asciiTheme="minorHAnsi" w:hAnsiTheme="minorHAnsi"/>
          <w:b/>
          <w:color w:val="0070C0"/>
        </w:rPr>
        <w:t xml:space="preserve"> </w:t>
      </w:r>
      <w:r w:rsidR="007A00CD">
        <w:rPr>
          <w:rFonts w:asciiTheme="minorHAnsi" w:hAnsiTheme="minorHAnsi"/>
          <w:b/>
          <w:color w:val="0070C0"/>
        </w:rPr>
        <w:t>6 MESI</w:t>
      </w:r>
    </w:p>
    <w:p w:rsidR="001E7961" w:rsidRPr="001E7961" w:rsidRDefault="001E7961" w:rsidP="001E7961">
      <w:pPr>
        <w:pStyle w:val="Paragrafoelenco"/>
        <w:numPr>
          <w:ilvl w:val="0"/>
          <w:numId w:val="3"/>
        </w:numPr>
        <w:spacing w:before="120" w:after="0" w:line="480" w:lineRule="auto"/>
        <w:rPr>
          <w:rFonts w:asciiTheme="minorHAnsi" w:hAnsiTheme="minorHAnsi"/>
          <w:b/>
          <w:color w:val="0070C0"/>
        </w:rPr>
      </w:pPr>
      <w:r w:rsidRPr="00A104BA">
        <w:rPr>
          <w:rFonts w:asciiTheme="minorHAnsi" w:hAnsiTheme="minorHAnsi"/>
          <w:b/>
          <w:color w:val="0070C0"/>
        </w:rPr>
        <w:t>ULTERIORE PROROGA TERMINI IPER-AMMORTAMENTO</w:t>
      </w:r>
      <w:r>
        <w:rPr>
          <w:rFonts w:asciiTheme="minorHAnsi" w:hAnsiTheme="minorHAnsi"/>
          <w:b/>
          <w:color w:val="0070C0"/>
        </w:rPr>
        <w:t xml:space="preserve"> –</w:t>
      </w:r>
      <w:r w:rsidR="004159FC">
        <w:rPr>
          <w:rFonts w:asciiTheme="minorHAnsi" w:hAnsiTheme="minorHAnsi"/>
          <w:b/>
          <w:color w:val="0070C0"/>
        </w:rPr>
        <w:t xml:space="preserve"> </w:t>
      </w:r>
      <w:r w:rsidR="007A00CD">
        <w:rPr>
          <w:rFonts w:asciiTheme="minorHAnsi" w:hAnsiTheme="minorHAnsi"/>
          <w:b/>
          <w:color w:val="0070C0"/>
        </w:rPr>
        <w:t>3 MESI</w:t>
      </w:r>
    </w:p>
    <w:p w:rsidR="008A1D89" w:rsidRPr="00A104BA" w:rsidRDefault="008A1D89" w:rsidP="008A1D89">
      <w:pPr>
        <w:pStyle w:val="Paragrafoelenco"/>
        <w:numPr>
          <w:ilvl w:val="0"/>
          <w:numId w:val="3"/>
        </w:numPr>
        <w:spacing w:before="120" w:after="0" w:line="480" w:lineRule="auto"/>
        <w:rPr>
          <w:rFonts w:asciiTheme="minorHAnsi" w:hAnsiTheme="minorHAnsi"/>
          <w:b/>
          <w:color w:val="0070C0"/>
        </w:rPr>
      </w:pPr>
      <w:r w:rsidRPr="00A104BA">
        <w:rPr>
          <w:rFonts w:asciiTheme="minorHAnsi" w:hAnsiTheme="minorHAnsi"/>
          <w:b/>
          <w:color w:val="0070C0"/>
        </w:rPr>
        <w:t>Z</w:t>
      </w:r>
      <w:r w:rsidR="004159FC">
        <w:rPr>
          <w:rFonts w:asciiTheme="minorHAnsi" w:hAnsiTheme="minorHAnsi"/>
          <w:b/>
          <w:color w:val="0070C0"/>
        </w:rPr>
        <w:t>ONE ECONOMICHE SPECIALI</w:t>
      </w:r>
    </w:p>
    <w:p w:rsidR="00CD29A3" w:rsidRPr="00A104BA" w:rsidRDefault="00CD29A3" w:rsidP="00CD29A3">
      <w:pPr>
        <w:pStyle w:val="Paragrafoelenco"/>
        <w:numPr>
          <w:ilvl w:val="0"/>
          <w:numId w:val="3"/>
        </w:numPr>
        <w:spacing w:before="120" w:after="0" w:line="480" w:lineRule="auto"/>
        <w:rPr>
          <w:rFonts w:asciiTheme="minorHAnsi" w:hAnsiTheme="minorHAnsi"/>
          <w:b/>
          <w:color w:val="0070C0"/>
        </w:rPr>
      </w:pPr>
      <w:r w:rsidRPr="00A104BA">
        <w:rPr>
          <w:rFonts w:asciiTheme="minorHAnsi" w:hAnsiTheme="minorHAnsi"/>
          <w:b/>
          <w:color w:val="0070C0"/>
        </w:rPr>
        <w:t>PREFETTURE – ASSISTENZA TECNICO AMMINISTRATIVA</w:t>
      </w:r>
    </w:p>
    <w:p w:rsidR="00011419" w:rsidRPr="00011419" w:rsidRDefault="00011419" w:rsidP="00011419">
      <w:pPr>
        <w:pStyle w:val="Paragrafoelenco"/>
        <w:numPr>
          <w:ilvl w:val="0"/>
          <w:numId w:val="3"/>
        </w:numPr>
        <w:spacing w:before="120" w:after="0" w:line="480" w:lineRule="auto"/>
        <w:rPr>
          <w:rFonts w:cstheme="minorBidi"/>
          <w:b/>
          <w:color w:val="0070C0"/>
        </w:rPr>
      </w:pPr>
      <w:r w:rsidRPr="00011419">
        <w:rPr>
          <w:b/>
          <w:color w:val="0070C0"/>
        </w:rPr>
        <w:t xml:space="preserve">CREDITO </w:t>
      </w:r>
      <w:r w:rsidRPr="00011419">
        <w:rPr>
          <w:rFonts w:asciiTheme="minorHAnsi" w:hAnsiTheme="minorHAnsi"/>
          <w:b/>
          <w:color w:val="0070C0"/>
        </w:rPr>
        <w:t>D’IMPOSTA</w:t>
      </w:r>
      <w:r w:rsidRPr="00011419">
        <w:rPr>
          <w:b/>
          <w:color w:val="0070C0"/>
        </w:rPr>
        <w:t xml:space="preserve"> INVESTIMENTI SISMA CENTRO ITALIA</w:t>
      </w:r>
    </w:p>
    <w:p w:rsidR="00011419" w:rsidRPr="00A104BA" w:rsidRDefault="00011419" w:rsidP="00ED48EC">
      <w:pPr>
        <w:pStyle w:val="Paragrafoelenco"/>
        <w:spacing w:before="120" w:after="0" w:line="480" w:lineRule="auto"/>
        <w:ind w:left="360"/>
        <w:rPr>
          <w:rFonts w:asciiTheme="minorHAnsi" w:hAnsiTheme="minorHAnsi"/>
          <w:b/>
          <w:color w:val="0070C0"/>
        </w:rPr>
      </w:pPr>
    </w:p>
    <w:p w:rsidR="008A1D89" w:rsidRPr="00A104BA" w:rsidRDefault="008A1D89" w:rsidP="008A1D89">
      <w:pPr>
        <w:spacing w:before="120" w:after="0" w:line="240" w:lineRule="auto"/>
        <w:jc w:val="center"/>
        <w:rPr>
          <w:b/>
        </w:rPr>
      </w:pPr>
    </w:p>
    <w:p w:rsidR="008A1D89" w:rsidRPr="00A104BA" w:rsidRDefault="008A1D89" w:rsidP="008A1D89">
      <w:pPr>
        <w:spacing w:before="120" w:after="0" w:line="240" w:lineRule="auto"/>
        <w:jc w:val="center"/>
        <w:rPr>
          <w:b/>
        </w:rPr>
      </w:pPr>
    </w:p>
    <w:p w:rsidR="008A1D89" w:rsidRPr="00A104BA" w:rsidRDefault="008A1D89">
      <w:pPr>
        <w:rPr>
          <w:b/>
        </w:rPr>
      </w:pPr>
      <w:r w:rsidRPr="00A104BA">
        <w:rPr>
          <w:b/>
        </w:rPr>
        <w:br w:type="page"/>
      </w:r>
    </w:p>
    <w:p w:rsidR="00BB06E2" w:rsidRPr="00A104BA" w:rsidRDefault="00BB06E2" w:rsidP="00BB06E2">
      <w:pPr>
        <w:spacing w:before="120" w:after="0" w:line="240" w:lineRule="auto"/>
        <w:jc w:val="right"/>
        <w:rPr>
          <w:b/>
          <w:color w:val="FF0000"/>
        </w:rPr>
      </w:pPr>
      <w:r w:rsidRPr="00A104BA">
        <w:rPr>
          <w:b/>
          <w:color w:val="FF0000"/>
        </w:rPr>
        <w:t>ULTERIORE PROROGA TERMINI IPER-AMMORTAMENTO</w:t>
      </w:r>
      <w:r w:rsidR="00980521">
        <w:rPr>
          <w:b/>
          <w:color w:val="FF0000"/>
        </w:rPr>
        <w:t xml:space="preserve"> –</w:t>
      </w:r>
      <w:r w:rsidR="004159FC">
        <w:rPr>
          <w:b/>
          <w:color w:val="FF0000"/>
        </w:rPr>
        <w:t xml:space="preserve"> 6</w:t>
      </w:r>
      <w:r w:rsidR="00980521">
        <w:rPr>
          <w:b/>
          <w:color w:val="FF0000"/>
        </w:rPr>
        <w:t xml:space="preserve"> MESI</w:t>
      </w:r>
    </w:p>
    <w:p w:rsidR="00BB06E2" w:rsidRDefault="00BB06E2" w:rsidP="00BB06E2">
      <w:pPr>
        <w:spacing w:before="120" w:after="0" w:line="240" w:lineRule="auto"/>
        <w:jc w:val="center"/>
        <w:rPr>
          <w:b/>
        </w:rPr>
      </w:pPr>
    </w:p>
    <w:p w:rsidR="00BB06E2" w:rsidRPr="00A104BA" w:rsidRDefault="00BB06E2" w:rsidP="00BB06E2">
      <w:pPr>
        <w:spacing w:before="120" w:after="0" w:line="240" w:lineRule="auto"/>
        <w:jc w:val="center"/>
        <w:rPr>
          <w:b/>
        </w:rPr>
      </w:pPr>
      <w:r w:rsidRPr="00A104BA">
        <w:rPr>
          <w:b/>
        </w:rPr>
        <w:t>DDL recante “Conversione in legge del decreto-legge 20 giugno 2017, n. 91, recante disposizioni urgenti per la crescita economica nel Mezzogiorno”</w:t>
      </w:r>
    </w:p>
    <w:p w:rsidR="00BB06E2" w:rsidRPr="00A104BA" w:rsidRDefault="00BB06E2" w:rsidP="00BB06E2">
      <w:pPr>
        <w:spacing w:before="120" w:after="0" w:line="240" w:lineRule="auto"/>
        <w:jc w:val="center"/>
        <w:rPr>
          <w:b/>
        </w:rPr>
      </w:pPr>
      <w:r w:rsidRPr="00A104BA">
        <w:rPr>
          <w:b/>
        </w:rPr>
        <w:t>(AS 2860)</w:t>
      </w:r>
    </w:p>
    <w:p w:rsidR="00BB06E2" w:rsidRPr="00A104BA" w:rsidRDefault="00BB06E2" w:rsidP="00BB06E2">
      <w:pPr>
        <w:spacing w:before="120" w:after="0" w:line="240" w:lineRule="auto"/>
        <w:jc w:val="both"/>
        <w:rPr>
          <w:b/>
          <w:bCs/>
          <w:smallCaps/>
        </w:rPr>
      </w:pPr>
      <w:r w:rsidRPr="00A104BA">
        <w:rPr>
          <w:b/>
          <w:bCs/>
          <w:smallCaps/>
        </w:rPr>
        <w:t xml:space="preserve">Emendamento </w:t>
      </w:r>
    </w:p>
    <w:p w:rsidR="00BB06E2" w:rsidRPr="00A104BA" w:rsidRDefault="00BB06E2" w:rsidP="00BB06E2">
      <w:pPr>
        <w:spacing w:before="120" w:after="0" w:line="240" w:lineRule="auto"/>
        <w:jc w:val="both"/>
        <w:rPr>
          <w:rFonts w:eastAsia="Times New Roman"/>
        </w:rPr>
      </w:pPr>
      <w:r w:rsidRPr="00A104BA">
        <w:rPr>
          <w:rFonts w:eastAsia="Times New Roman"/>
        </w:rPr>
        <w:t>All’articolo 14 apportare le seguenti modificazioni:</w:t>
      </w:r>
    </w:p>
    <w:p w:rsidR="00BB06E2" w:rsidRPr="00A104BA" w:rsidRDefault="00BB06E2" w:rsidP="00BB06E2">
      <w:pPr>
        <w:spacing w:before="120" w:after="0" w:line="240" w:lineRule="auto"/>
        <w:jc w:val="both"/>
      </w:pPr>
      <w:r w:rsidRPr="00A104BA">
        <w:rPr>
          <w:rFonts w:eastAsia="Times New Roman"/>
        </w:rPr>
        <w:t>a) al comma 1, lettera b)</w:t>
      </w:r>
      <w:r w:rsidR="00E801A8">
        <w:rPr>
          <w:rFonts w:eastAsia="Times New Roman"/>
        </w:rPr>
        <w:t>,</w:t>
      </w:r>
      <w:r w:rsidRPr="00A104BA">
        <w:rPr>
          <w:rFonts w:eastAsia="Times New Roman"/>
        </w:rPr>
        <w:t xml:space="preserve"> le parole </w:t>
      </w:r>
      <w:r w:rsidRPr="00A104BA">
        <w:t>«entro il 31 luglio 2018» sono sostituite dalle seguenti</w:t>
      </w:r>
      <w:r w:rsidRPr="00A104BA">
        <w:rPr>
          <w:rFonts w:eastAsia="Times New Roman"/>
        </w:rPr>
        <w:t xml:space="preserve">: </w:t>
      </w:r>
      <w:r w:rsidRPr="00A104BA">
        <w:t>«entro il 31 dicembre 2018»;</w:t>
      </w:r>
    </w:p>
    <w:p w:rsidR="00BB06E2" w:rsidRPr="00A104BA" w:rsidRDefault="00BB06E2" w:rsidP="00BB06E2">
      <w:pPr>
        <w:spacing w:before="120" w:after="0" w:line="240" w:lineRule="auto"/>
        <w:jc w:val="both"/>
        <w:rPr>
          <w:rFonts w:eastAsia="Times New Roman"/>
        </w:rPr>
      </w:pPr>
      <w:r w:rsidRPr="00A104BA">
        <w:t>b)</w:t>
      </w:r>
      <w:r w:rsidRPr="00A104BA">
        <w:rPr>
          <w:rFonts w:eastAsia="Times New Roman"/>
        </w:rPr>
        <w:t xml:space="preserve"> dopo il comma 1, è inserito il seguente:</w:t>
      </w:r>
    </w:p>
    <w:p w:rsidR="00BB06E2" w:rsidRPr="00A104BA" w:rsidRDefault="00BB06E2" w:rsidP="00BB06E2">
      <w:pPr>
        <w:spacing w:before="120" w:after="0" w:line="240" w:lineRule="auto"/>
        <w:jc w:val="both"/>
        <w:rPr>
          <w:rFonts w:eastAsia="Times New Roman"/>
        </w:rPr>
      </w:pPr>
      <w:r w:rsidRPr="00A104BA">
        <w:rPr>
          <w:rFonts w:eastAsia="Times New Roman"/>
        </w:rPr>
        <w:t>«1.</w:t>
      </w:r>
      <w:r w:rsidRPr="00A104BA">
        <w:rPr>
          <w:rFonts w:eastAsia="Times New Roman"/>
          <w:i/>
        </w:rPr>
        <w:t>bis</w:t>
      </w:r>
      <w:r w:rsidRPr="00A104BA">
        <w:rPr>
          <w:rFonts w:eastAsia="Times New Roman"/>
        </w:rPr>
        <w:t>. A</w:t>
      </w:r>
      <w:r w:rsidR="00E801A8">
        <w:t xml:space="preserve">ll’articolo </w:t>
      </w:r>
      <w:r w:rsidRPr="00A104BA">
        <w:t>1</w:t>
      </w:r>
      <w:r w:rsidR="00E801A8">
        <w:t xml:space="preserve">, </w:t>
      </w:r>
      <w:r w:rsidRPr="00A104BA">
        <w:t>comma 10, della legge 11 dicembre 2016</w:t>
      </w:r>
      <w:r w:rsidR="004B1241">
        <w:t>, n. 232</w:t>
      </w:r>
      <w:r w:rsidRPr="00A104BA">
        <w:t xml:space="preserve"> sostituire le parole “nel periodo indicato al comma 8,” con le seguenti: “entro il 31 dicembre 2017, ovvero entro il 31 dicembre 2018 a condizione che entro la data del 31 dicembre 2017 il relativo ordine risulti accettato dal venditore e sia avvenuto il pagamento di acconti in misura almeno pari al 20 per cento del costo di acquisizione,”.</w:t>
      </w:r>
      <w:r w:rsidRPr="00A104BA">
        <w:rPr>
          <w:rFonts w:eastAsia="Times New Roman"/>
        </w:rPr>
        <w:t>»;</w:t>
      </w:r>
    </w:p>
    <w:p w:rsidR="00BB06E2" w:rsidRPr="00A104BA" w:rsidRDefault="00BB06E2" w:rsidP="00BB06E2">
      <w:pPr>
        <w:spacing w:before="120" w:after="0" w:line="240" w:lineRule="auto"/>
        <w:jc w:val="both"/>
        <w:rPr>
          <w:rFonts w:eastAsia="Times New Roman"/>
        </w:rPr>
      </w:pPr>
      <w:r w:rsidRPr="00A104BA">
        <w:rPr>
          <w:rFonts w:eastAsia="Times New Roman"/>
        </w:rPr>
        <w:t>c) il comma 3 è sostituito dal seguente:</w:t>
      </w:r>
    </w:p>
    <w:p w:rsidR="00BB06E2" w:rsidRPr="00A104BA" w:rsidRDefault="00BB06E2" w:rsidP="004B1241">
      <w:pPr>
        <w:spacing w:before="120" w:after="0" w:line="240" w:lineRule="auto"/>
        <w:ind w:left="708"/>
        <w:jc w:val="both"/>
        <w:rPr>
          <w:rFonts w:eastAsia="Times New Roman"/>
        </w:rPr>
      </w:pPr>
      <w:r w:rsidRPr="00A104BA">
        <w:rPr>
          <w:rFonts w:eastAsia="Times New Roman"/>
        </w:rPr>
        <w:t>«3. Ai maggiori oneri derivanti dal presente articolo, valutati in 90 milioni di euro per l'anno 2019, in 144 milioni di euro per l'anno 2020, in 102 milioni di euro per ciascuno degli anni dal 2021 al 2023, e in 16 milioni di euro per l'anno 2024 e a 6 milioni di euro per l'anno 2025, si provvede:</w:t>
      </w:r>
    </w:p>
    <w:p w:rsidR="00BB06E2" w:rsidRPr="00A104BA" w:rsidRDefault="00BB06E2" w:rsidP="004B1241">
      <w:pPr>
        <w:spacing w:before="120" w:after="0" w:line="240" w:lineRule="auto"/>
        <w:ind w:left="708"/>
        <w:jc w:val="both"/>
        <w:rPr>
          <w:rFonts w:eastAsia="Times New Roman"/>
        </w:rPr>
      </w:pPr>
      <w:r w:rsidRPr="00A104BA">
        <w:rPr>
          <w:rFonts w:eastAsia="Times New Roman"/>
          <w:i/>
        </w:rPr>
        <w:t xml:space="preserve">a) </w:t>
      </w:r>
      <w:r w:rsidRPr="00A104BA">
        <w:rPr>
          <w:rFonts w:eastAsia="Times New Roman"/>
        </w:rPr>
        <w:t>quanto a 6 milioni di euro per ciascuno degli anni dal 2019 al 2024, mediante corrispondente riduzione delle proiezioni dello stanziamento del fondo speciale di parte corrente iscritto, ai fini del bilancio triennale 2017-2019, nell'ambito del programma «Fondi di riserva e speciali» della missione «Fondi da ripartire» dello stato di previsione del Ministero dell'economia e delle finanze per l'anno 2017, allo scopo parzialmente utilizzando l'accantonamento relativo al Ministero dell'economia e delle finanze per 4,820 milioni di euro per ciascuno degli anni dal 2019 al 2024, e l'accantonamento relativo al Ministero dello sviluppo economico per 1,180 milioni di euro per ciascuno degli anni dal 2019 al 2024;</w:t>
      </w:r>
    </w:p>
    <w:p w:rsidR="00BB06E2" w:rsidRPr="00A104BA" w:rsidRDefault="00BB06E2" w:rsidP="004B1241">
      <w:pPr>
        <w:spacing w:before="120" w:after="0" w:line="240" w:lineRule="auto"/>
        <w:ind w:left="708"/>
        <w:jc w:val="both"/>
        <w:rPr>
          <w:rFonts w:eastAsia="Times New Roman"/>
        </w:rPr>
      </w:pPr>
      <w:r w:rsidRPr="00A104BA">
        <w:rPr>
          <w:rFonts w:eastAsia="Times New Roman"/>
          <w:i/>
        </w:rPr>
        <w:t>b)</w:t>
      </w:r>
      <w:r w:rsidRPr="00A104BA">
        <w:rPr>
          <w:rFonts w:eastAsia="Times New Roman"/>
        </w:rPr>
        <w:t xml:space="preserve"> quanto a 8 milioni di euro per l'anno 2019, a 18 milioni di euro per l'anno 2020 e a 11 milioni di euro per ciascuno degli anni dal 2021 al 2023, mediante corrispondente riduzione del Fondo per interventi strutturali di politica economica, di cui all'articolo 10, comma 5 del decreto-legge 29 novembre 2004, n. 282, convertito, con modificazioni, dalla legge 27 dicembre 2004, n. 307;</w:t>
      </w:r>
    </w:p>
    <w:p w:rsidR="00BB06E2" w:rsidRPr="00A104BA" w:rsidRDefault="00BB06E2" w:rsidP="004B1241">
      <w:pPr>
        <w:spacing w:before="120" w:after="0" w:line="240" w:lineRule="auto"/>
        <w:ind w:left="708"/>
        <w:jc w:val="both"/>
        <w:rPr>
          <w:rFonts w:eastAsia="Times New Roman"/>
        </w:rPr>
      </w:pPr>
      <w:r w:rsidRPr="00A104BA">
        <w:rPr>
          <w:rFonts w:eastAsia="Times New Roman"/>
          <w:i/>
        </w:rPr>
        <w:t>c)</w:t>
      </w:r>
      <w:r w:rsidRPr="00A104BA">
        <w:rPr>
          <w:rFonts w:eastAsia="Times New Roman"/>
        </w:rPr>
        <w:t xml:space="preserve"> quanto a 1 milione di euro per l'anno 2019, mediante corrispondente utilizzo del fondo di parte corrente iscritto nello stato di previsione del Ministero dello sviluppo economico ai sensi dell'articolo </w:t>
      </w:r>
      <w:hyperlink r:id="rId6" w:history="1">
        <w:r w:rsidRPr="00A104BA">
          <w:rPr>
            <w:rFonts w:eastAsia="Times New Roman"/>
          </w:rPr>
          <w:t>49, comma 2, lettere a) e b),</w:t>
        </w:r>
      </w:hyperlink>
      <w:r w:rsidRPr="00A104BA">
        <w:rPr>
          <w:rFonts w:eastAsia="Times New Roman"/>
        </w:rPr>
        <w:t xml:space="preserve"> del </w:t>
      </w:r>
      <w:hyperlink r:id="rId7" w:history="1">
        <w:r w:rsidRPr="00A104BA">
          <w:rPr>
            <w:rFonts w:eastAsia="Times New Roman"/>
          </w:rPr>
          <w:t>decreto-legge 24 aprile 2014, n. 66</w:t>
        </w:r>
      </w:hyperlink>
      <w:r w:rsidRPr="00A104BA">
        <w:rPr>
          <w:rFonts w:eastAsia="Times New Roman"/>
        </w:rPr>
        <w:t xml:space="preserve">, convertito, con modificazioni, dalla </w:t>
      </w:r>
      <w:hyperlink r:id="rId8" w:history="1">
        <w:r w:rsidRPr="00A104BA">
          <w:rPr>
            <w:rFonts w:eastAsia="Times New Roman"/>
          </w:rPr>
          <w:t>legge 23 giugno 2014, n. 89</w:t>
        </w:r>
      </w:hyperlink>
      <w:r w:rsidRPr="00A104BA">
        <w:rPr>
          <w:rFonts w:eastAsia="Times New Roman"/>
        </w:rPr>
        <w:t>;</w:t>
      </w:r>
    </w:p>
    <w:p w:rsidR="00BB06E2" w:rsidRPr="00A104BA" w:rsidRDefault="00BB06E2" w:rsidP="004B1241">
      <w:pPr>
        <w:spacing w:before="120" w:after="0" w:line="240" w:lineRule="auto"/>
        <w:ind w:left="708"/>
        <w:jc w:val="both"/>
        <w:rPr>
          <w:rFonts w:eastAsia="Times New Roman"/>
        </w:rPr>
      </w:pPr>
      <w:r w:rsidRPr="00A104BA">
        <w:rPr>
          <w:rFonts w:eastAsia="Times New Roman"/>
          <w:i/>
        </w:rPr>
        <w:t>d)</w:t>
      </w:r>
      <w:r w:rsidRPr="00A104BA">
        <w:rPr>
          <w:rFonts w:eastAsia="Times New Roman"/>
        </w:rPr>
        <w:t xml:space="preserve"> quanto a 7 milioni di euro nel 2019, a 52 milioni di euro nel 2020, a 17 milioni di euro dal 2021 fino al 2023 e a 10 milioni di euro nel 2024, mediante riduzione dello stanziamento iscritto nello stato di previsione del Ministero delle politiche agricole, alimentari e forestali per la missione "agricoltura, politiche agroalimentari e pesca", programma "politiche competitive, della qualità agroalimentare, della pesca, dell'ippica e mezzi tecnici di produzione";</w:t>
      </w:r>
    </w:p>
    <w:p w:rsidR="00BB06E2" w:rsidRPr="00A104BA" w:rsidRDefault="00BB06E2" w:rsidP="004B1241">
      <w:pPr>
        <w:spacing w:before="120" w:after="0" w:line="240" w:lineRule="auto"/>
        <w:ind w:left="708"/>
        <w:jc w:val="both"/>
        <w:rPr>
          <w:rFonts w:eastAsia="Times New Roman"/>
        </w:rPr>
      </w:pPr>
      <w:r w:rsidRPr="00A104BA">
        <w:rPr>
          <w:rFonts w:eastAsia="Times New Roman"/>
          <w:i/>
        </w:rPr>
        <w:t>e)</w:t>
      </w:r>
      <w:r w:rsidRPr="00A104BA">
        <w:rPr>
          <w:rFonts w:eastAsia="Times New Roman"/>
        </w:rPr>
        <w:t xml:space="preserve"> quanto a 68 milioni di euro per ciascuno degli anni dal 2019 al 2023, con l’attuazione della seguente modifica normativa:</w:t>
      </w:r>
    </w:p>
    <w:p w:rsidR="00BB06E2" w:rsidRPr="00A104BA" w:rsidRDefault="004B1241" w:rsidP="004B1241">
      <w:pPr>
        <w:spacing w:before="120" w:after="0" w:line="240" w:lineRule="auto"/>
        <w:ind w:left="1416"/>
        <w:jc w:val="both"/>
        <w:rPr>
          <w:rFonts w:eastAsia="Times New Roman"/>
        </w:rPr>
      </w:pPr>
      <w:r>
        <w:rPr>
          <w:rFonts w:eastAsia="Times New Roman"/>
        </w:rPr>
        <w:t>“</w:t>
      </w:r>
      <w:r w:rsidR="00BB06E2" w:rsidRPr="00A104BA">
        <w:rPr>
          <w:rFonts w:eastAsia="Times New Roman"/>
        </w:rPr>
        <w:t>1. All’articolo 17, quinto comma, del decreto del Presidente della Repubblica 26 ottobre 1972, n. 633, apportare le seguenti modificazioni:</w:t>
      </w:r>
    </w:p>
    <w:p w:rsidR="00BB06E2" w:rsidRPr="00A104BA" w:rsidRDefault="00BB06E2" w:rsidP="004B1241">
      <w:pPr>
        <w:spacing w:before="120" w:after="0" w:line="240" w:lineRule="auto"/>
        <w:ind w:left="1416"/>
        <w:jc w:val="both"/>
        <w:rPr>
          <w:rFonts w:eastAsia="Times New Roman"/>
        </w:rPr>
      </w:pPr>
      <w:r w:rsidRPr="00A104BA">
        <w:rPr>
          <w:rFonts w:eastAsia="Times New Roman"/>
        </w:rPr>
        <w:t>a) al primo periodo, dopo le parole “prodotti semilavorati,” è inserita la seguente: “entrambi”;</w:t>
      </w:r>
    </w:p>
    <w:p w:rsidR="004B1241" w:rsidRDefault="00BB06E2" w:rsidP="004B1241">
      <w:pPr>
        <w:spacing w:before="120" w:after="0" w:line="240" w:lineRule="auto"/>
        <w:ind w:left="1416"/>
        <w:jc w:val="both"/>
        <w:rPr>
          <w:rFonts w:eastAsia="Times New Roman"/>
        </w:rPr>
      </w:pPr>
      <w:r w:rsidRPr="00A104BA">
        <w:rPr>
          <w:rFonts w:eastAsia="Times New Roman"/>
        </w:rPr>
        <w:t>b) è aggiunto, in fine, il seguente periodo: “La disposizione di cui ai periodi precedenti si applica anche alle cessioni di oggetti o composti chimici di qualunque natura, forma o stato d’uso, destinati alla lavorazione alfine del recupero dell’oro, in essi contenuto, il cui valore di cessione non ecceda o ecceda in modo trascurabile il valore di quotazione sul mercato ufficiale di riferimento dello stesso metallo prezioso.”.</w:t>
      </w:r>
    </w:p>
    <w:p w:rsidR="004B1241" w:rsidRDefault="004B1241" w:rsidP="004B1241">
      <w:pPr>
        <w:spacing w:before="120" w:after="0" w:line="240" w:lineRule="auto"/>
        <w:ind w:left="1416"/>
        <w:jc w:val="both"/>
        <w:rPr>
          <w:rFonts w:eastAsia="Times New Roman"/>
        </w:rPr>
      </w:pPr>
      <w:r>
        <w:rPr>
          <w:rFonts w:eastAsia="Times New Roman"/>
        </w:rPr>
        <w:t>2. A</w:t>
      </w:r>
      <w:r w:rsidR="00BB06E2" w:rsidRPr="00A104BA">
        <w:rPr>
          <w:rFonts w:eastAsia="Times New Roman"/>
        </w:rPr>
        <w:t>ll’articolo 70, sesto comma, del decreto del Presidente della Repubblica 26 ottobre 1972, n. 633, le parole “Per l'importazione di materiale d'oro, nonché dei prodotti se</w:t>
      </w:r>
      <w:r>
        <w:rPr>
          <w:rFonts w:eastAsia="Times New Roman"/>
        </w:rPr>
        <w:t xml:space="preserve">milavorati </w:t>
      </w:r>
      <w:r w:rsidR="00BB06E2" w:rsidRPr="00A104BA">
        <w:rPr>
          <w:rFonts w:eastAsia="Times New Roman"/>
        </w:rPr>
        <w:t>di purezza pari o superiore a 325 millesimi” sono sostituite dalle seguenti: “Per l'importazione dei beni di cui all’articolo 17, quinto comma”.</w:t>
      </w:r>
    </w:p>
    <w:p w:rsidR="00BB06E2" w:rsidRPr="00A104BA" w:rsidRDefault="00BB06E2" w:rsidP="004B1241">
      <w:pPr>
        <w:spacing w:before="120" w:after="0" w:line="240" w:lineRule="auto"/>
        <w:ind w:left="1416"/>
        <w:jc w:val="both"/>
        <w:rPr>
          <w:rFonts w:eastAsia="Times New Roman"/>
        </w:rPr>
      </w:pPr>
      <w:r w:rsidRPr="00A104BA">
        <w:rPr>
          <w:rFonts w:eastAsia="Times New Roman"/>
        </w:rPr>
        <w:t>3. Le modifiche recate dai commi precedenti si applicano alle operazioni effettuate dal 1° gennaio 2018.</w:t>
      </w:r>
      <w:r w:rsidR="004B1241">
        <w:rPr>
          <w:rFonts w:eastAsia="Times New Roman"/>
        </w:rPr>
        <w:t>”</w:t>
      </w:r>
      <w:r w:rsidRPr="00A104BA">
        <w:rPr>
          <w:rFonts w:eastAsia="Times New Roman"/>
        </w:rPr>
        <w:t>;</w:t>
      </w:r>
    </w:p>
    <w:p w:rsidR="00BB06E2" w:rsidRPr="00A104BA" w:rsidRDefault="00BB06E2" w:rsidP="004B1241">
      <w:pPr>
        <w:pStyle w:val="Normale1"/>
        <w:pBdr>
          <w:top w:val="none" w:sz="96" w:space="5" w:color="FFFFFF" w:frame="1"/>
        </w:pBdr>
        <w:ind w:left="708"/>
        <w:rPr>
          <w:rFonts w:asciiTheme="minorHAnsi" w:eastAsia="Times New Roman" w:hAnsiTheme="minorHAnsi"/>
        </w:rPr>
      </w:pPr>
      <w:r w:rsidRPr="00A104BA">
        <w:rPr>
          <w:rFonts w:asciiTheme="minorHAnsi" w:eastAsia="Times New Roman" w:hAnsiTheme="minorHAnsi"/>
          <w:i/>
        </w:rPr>
        <w:t xml:space="preserve">f) </w:t>
      </w:r>
      <w:r w:rsidRPr="00A104BA">
        <w:rPr>
          <w:rFonts w:asciiTheme="minorHAnsi" w:eastAsia="Times New Roman" w:hAnsiTheme="minorHAnsi"/>
        </w:rPr>
        <w:t>quanto a 6 milioni di euro per l’anno 2025 mediante corrispondente utilizzo delle maggiori entrate derivanti dal comma 1 del presente articolo.».</w:t>
      </w:r>
    </w:p>
    <w:p w:rsidR="00BB06E2" w:rsidRPr="00A104BA" w:rsidRDefault="00BB06E2" w:rsidP="00BB06E2">
      <w:pPr>
        <w:pStyle w:val="Normale1"/>
        <w:pBdr>
          <w:top w:val="none" w:sz="96" w:space="5" w:color="FFFFFF" w:frame="1"/>
        </w:pBdr>
        <w:rPr>
          <w:rFonts w:asciiTheme="minorHAnsi" w:hAnsiTheme="minorHAnsi"/>
          <w:b/>
        </w:rPr>
      </w:pPr>
    </w:p>
    <w:p w:rsidR="00BB06E2" w:rsidRPr="00A104BA" w:rsidRDefault="00BB06E2" w:rsidP="00BB06E2">
      <w:pPr>
        <w:pStyle w:val="Normale1"/>
        <w:pBdr>
          <w:top w:val="none" w:sz="96" w:space="5" w:color="FFFFFF" w:frame="1"/>
        </w:pBdr>
        <w:jc w:val="center"/>
        <w:rPr>
          <w:rFonts w:asciiTheme="minorHAnsi" w:hAnsiTheme="minorHAnsi"/>
          <w:b/>
          <w:u w:val="single"/>
        </w:rPr>
      </w:pPr>
      <w:r w:rsidRPr="00A104BA">
        <w:rPr>
          <w:rFonts w:asciiTheme="minorHAnsi" w:hAnsiTheme="minorHAnsi"/>
          <w:b/>
        </w:rPr>
        <w:t>Relazione illustrativa</w:t>
      </w:r>
    </w:p>
    <w:p w:rsidR="00BB06E2" w:rsidRPr="00A104BA" w:rsidRDefault="00BB06E2" w:rsidP="00BB06E2">
      <w:pPr>
        <w:pStyle w:val="Normale1"/>
        <w:pBdr>
          <w:top w:val="none" w:sz="96" w:space="5" w:color="FFFFFF" w:frame="1"/>
        </w:pBdr>
        <w:rPr>
          <w:rFonts w:asciiTheme="minorHAnsi" w:hAnsiTheme="minorHAnsi"/>
          <w:bdr w:val="nil"/>
        </w:rPr>
      </w:pPr>
      <w:r w:rsidRPr="00A104BA">
        <w:rPr>
          <w:rFonts w:asciiTheme="minorHAnsi" w:hAnsiTheme="minorHAnsi"/>
          <w:bdr w:val="nil"/>
        </w:rPr>
        <w:t xml:space="preserve">L’emendamento proroga al 31 dicembre 2018 il termine per la consegna dei beni (materiali ed immateriali) funzionali alla trasformazione tecnologica in chiave “Industria 4.0”, previsto dalla disciplina agevolativa del c.d. </w:t>
      </w:r>
      <w:proofErr w:type="spellStart"/>
      <w:r w:rsidRPr="00A104BA">
        <w:rPr>
          <w:rFonts w:asciiTheme="minorHAnsi" w:hAnsiTheme="minorHAnsi"/>
          <w:bdr w:val="nil"/>
        </w:rPr>
        <w:t>Iperammortamento</w:t>
      </w:r>
      <w:proofErr w:type="spellEnd"/>
      <w:r w:rsidRPr="00A104BA">
        <w:rPr>
          <w:rFonts w:asciiTheme="minorHAnsi" w:hAnsiTheme="minorHAnsi"/>
          <w:bdr w:val="nil"/>
        </w:rPr>
        <w:t xml:space="preserve">.  </w:t>
      </w:r>
    </w:p>
    <w:p w:rsidR="00BB06E2" w:rsidRPr="00A104BA" w:rsidRDefault="00BB06E2" w:rsidP="00BB06E2">
      <w:pPr>
        <w:pStyle w:val="Normale1"/>
        <w:pBdr>
          <w:top w:val="none" w:sz="96" w:space="5" w:color="FFFFFF" w:frame="1"/>
        </w:pBdr>
        <w:rPr>
          <w:rFonts w:asciiTheme="minorHAnsi" w:hAnsiTheme="minorHAnsi"/>
          <w:bdr w:val="nil"/>
        </w:rPr>
      </w:pPr>
      <w:r w:rsidRPr="00A104BA">
        <w:rPr>
          <w:rFonts w:asciiTheme="minorHAnsi" w:hAnsiTheme="minorHAnsi"/>
          <w:bdr w:val="nil"/>
        </w:rPr>
        <w:t xml:space="preserve">L’emendamento trova la sua giustificazione nella complessità di tali investimenti che necessitano di termini ampi per la loro realizzazione. </w:t>
      </w:r>
    </w:p>
    <w:p w:rsidR="00BB06E2" w:rsidRPr="00A104BA" w:rsidRDefault="00BB06E2" w:rsidP="00BB06E2">
      <w:pPr>
        <w:pStyle w:val="Normale1"/>
        <w:pBdr>
          <w:top w:val="none" w:sz="96" w:space="5" w:color="FFFFFF" w:frame="1"/>
        </w:pBdr>
        <w:rPr>
          <w:rFonts w:asciiTheme="minorHAnsi" w:hAnsiTheme="minorHAnsi"/>
          <w:bdr w:val="nil"/>
        </w:rPr>
      </w:pPr>
      <w:r w:rsidRPr="00A104BA">
        <w:rPr>
          <w:rFonts w:asciiTheme="minorHAnsi" w:hAnsiTheme="minorHAnsi"/>
          <w:bdr w:val="nil"/>
        </w:rPr>
        <w:t xml:space="preserve">Tale modifica appare, altresì, opportuna per consolidare, anche nei prossimi mesi, l’andamento positivo degli investimenti e soprattutto evitare effetti di spiazzamento delle imprese italiane produttrici di macchinari, che già ora sono in “overbooking” e stanno rifiutando ordini, poiché non sono in grado di consegnare i beni entro il 30 luglio 2018. </w:t>
      </w:r>
    </w:p>
    <w:p w:rsidR="00BB06E2" w:rsidRPr="00A104BA" w:rsidRDefault="00BB06E2" w:rsidP="00BB06E2">
      <w:pPr>
        <w:pStyle w:val="Normale1"/>
        <w:pBdr>
          <w:top w:val="none" w:sz="96" w:space="5" w:color="FFFFFF" w:frame="1"/>
        </w:pBdr>
        <w:rPr>
          <w:rFonts w:asciiTheme="minorHAnsi" w:hAnsiTheme="minorHAnsi"/>
          <w:bdr w:val="nil"/>
        </w:rPr>
      </w:pPr>
      <w:r w:rsidRPr="00A104BA">
        <w:rPr>
          <w:rFonts w:asciiTheme="minorHAnsi" w:hAnsiTheme="minorHAnsi"/>
          <w:bdr w:val="nil"/>
        </w:rPr>
        <w:t>La mancata proroga dei tempi di consegna rischia sia di rallentare la ripresa degli investimenti innovativi, necessari per accrescere la competitività delle imprese italiane, sia di favorire le imprese produttrici estere che sarebbero invece in grado di produrre e consegnare i beni in tempo utile.</w:t>
      </w:r>
    </w:p>
    <w:p w:rsidR="00BB06E2" w:rsidRPr="00A104BA" w:rsidRDefault="00BB06E2" w:rsidP="00BB06E2">
      <w:pPr>
        <w:pStyle w:val="Normale1"/>
        <w:pBdr>
          <w:top w:val="none" w:sz="96" w:space="5" w:color="FFFFFF" w:frame="1"/>
        </w:pBdr>
        <w:rPr>
          <w:rFonts w:asciiTheme="minorHAnsi" w:hAnsiTheme="minorHAnsi"/>
          <w:bdr w:val="nil"/>
        </w:rPr>
      </w:pPr>
      <w:r w:rsidRPr="00A104BA">
        <w:rPr>
          <w:rFonts w:asciiTheme="minorHAnsi" w:hAnsiTheme="minorHAnsi"/>
          <w:bdr w:val="nil"/>
        </w:rPr>
        <w:t>Nel dettaglio, la lettera a) della proposta emendativa estende dal 31 luglio 2018 al 31 dicembre 2018 i termini della proroga disposta dall’articolo 14 del decreto-legge solo con riguardo agli investimenti in beni materiali inclusi dall’allegato A) alla Legge di Bilancio 2017.</w:t>
      </w:r>
    </w:p>
    <w:p w:rsidR="00BB06E2" w:rsidRPr="00A104BA" w:rsidRDefault="00BB06E2" w:rsidP="00BB06E2">
      <w:pPr>
        <w:pStyle w:val="Normale1"/>
        <w:pBdr>
          <w:top w:val="none" w:sz="96" w:space="5" w:color="FFFFFF" w:frame="1"/>
        </w:pBdr>
        <w:rPr>
          <w:rFonts w:asciiTheme="minorHAnsi" w:hAnsiTheme="minorHAnsi"/>
          <w:bdr w:val="nil"/>
        </w:rPr>
      </w:pPr>
      <w:r w:rsidRPr="00A104BA">
        <w:rPr>
          <w:rFonts w:asciiTheme="minorHAnsi" w:hAnsiTheme="minorHAnsi"/>
          <w:bdr w:val="nil"/>
        </w:rPr>
        <w:t xml:space="preserve">La lettera b), dell’emendamento, coerentemente con la finalità di favorire tutti i processi aziendali connessi a Industria 4.0, estende tale proroga anche agli investimenti in beni immateriali (software, sistemi e system </w:t>
      </w:r>
      <w:proofErr w:type="spellStart"/>
      <w:r w:rsidRPr="00A104BA">
        <w:rPr>
          <w:rFonts w:asciiTheme="minorHAnsi" w:hAnsiTheme="minorHAnsi"/>
          <w:bdr w:val="nil"/>
        </w:rPr>
        <w:t>integration</w:t>
      </w:r>
      <w:proofErr w:type="spellEnd"/>
      <w:r w:rsidRPr="00A104BA">
        <w:rPr>
          <w:rFonts w:asciiTheme="minorHAnsi" w:hAnsiTheme="minorHAnsi"/>
          <w:bdr w:val="nil"/>
        </w:rPr>
        <w:t>, piattaforme ed applicazioni) inclusi nell’allegato B) alla Legge di Bilancio 2017.</w:t>
      </w:r>
    </w:p>
    <w:p w:rsidR="00BB06E2" w:rsidRPr="00A104BA" w:rsidRDefault="00BB06E2" w:rsidP="00BB06E2">
      <w:pPr>
        <w:pStyle w:val="Normale1"/>
        <w:pBdr>
          <w:top w:val="none" w:sz="96" w:space="5" w:color="FFFFFF" w:frame="1"/>
        </w:pBdr>
        <w:rPr>
          <w:rFonts w:asciiTheme="minorHAnsi" w:hAnsiTheme="minorHAnsi"/>
          <w:bdr w:val="nil"/>
        </w:rPr>
      </w:pPr>
      <w:r w:rsidRPr="00A104BA">
        <w:rPr>
          <w:rFonts w:asciiTheme="minorHAnsi" w:hAnsiTheme="minorHAnsi"/>
          <w:bdr w:val="nil"/>
        </w:rPr>
        <w:t xml:space="preserve">La lettera c) modifica, conseguentemente, la copertura finanziaria della misura in oggetto, per tenere conto dei costi aggiuntivi derivanti dall’estensione del termine previsto per la consegna dei beni (materiali e immateriali) agevolabili. </w:t>
      </w:r>
    </w:p>
    <w:p w:rsidR="00BB06E2" w:rsidRPr="00A104BA" w:rsidRDefault="00BB06E2" w:rsidP="001178A3">
      <w:pPr>
        <w:pStyle w:val="Normale1"/>
        <w:pBdr>
          <w:top w:val="none" w:sz="96" w:space="5" w:color="FFFFFF" w:frame="1"/>
        </w:pBdr>
        <w:jc w:val="center"/>
        <w:rPr>
          <w:rFonts w:asciiTheme="minorHAnsi" w:hAnsiTheme="minorHAnsi"/>
          <w:b/>
        </w:rPr>
      </w:pPr>
      <w:r w:rsidRPr="00A104BA">
        <w:rPr>
          <w:rFonts w:asciiTheme="minorHAnsi" w:hAnsiTheme="minorHAnsi"/>
          <w:b/>
        </w:rPr>
        <w:t>Copertura finanziaria</w:t>
      </w:r>
    </w:p>
    <w:p w:rsidR="00BB06E2" w:rsidRPr="00A104BA" w:rsidRDefault="00BB06E2" w:rsidP="00BB06E2">
      <w:pPr>
        <w:pStyle w:val="Normale1"/>
        <w:pBdr>
          <w:top w:val="none" w:sz="96" w:space="5" w:color="FFFFFF" w:frame="1"/>
        </w:pBdr>
        <w:rPr>
          <w:rFonts w:asciiTheme="minorHAnsi" w:hAnsiTheme="minorHAnsi"/>
        </w:rPr>
      </w:pPr>
      <w:r w:rsidRPr="00A104BA">
        <w:rPr>
          <w:rFonts w:asciiTheme="minorHAnsi" w:hAnsiTheme="minorHAnsi"/>
        </w:rPr>
        <w:t xml:space="preserve">La proposta emendativa comporta i seguenti effetti finanziari (di cassa) espressi in milioni di euro:  </w:t>
      </w:r>
    </w:p>
    <w:tbl>
      <w:tblPr>
        <w:tblW w:w="10732" w:type="dxa"/>
        <w:tblCellSpacing w:w="0" w:type="dxa"/>
        <w:tblInd w:w="-477" w:type="dxa"/>
        <w:tblLayout w:type="fixed"/>
        <w:tblCellMar>
          <w:left w:w="0" w:type="dxa"/>
          <w:right w:w="0" w:type="dxa"/>
        </w:tblCellMar>
        <w:tblLook w:val="04A0"/>
      </w:tblPr>
      <w:tblGrid>
        <w:gridCol w:w="1985"/>
        <w:gridCol w:w="850"/>
        <w:gridCol w:w="993"/>
        <w:gridCol w:w="992"/>
        <w:gridCol w:w="992"/>
        <w:gridCol w:w="992"/>
        <w:gridCol w:w="993"/>
        <w:gridCol w:w="992"/>
        <w:gridCol w:w="992"/>
        <w:gridCol w:w="951"/>
      </w:tblGrid>
      <w:tr w:rsidR="00BB06E2" w:rsidRPr="00A104BA" w:rsidTr="00076F03">
        <w:trPr>
          <w:trHeight w:val="405"/>
          <w:tblCellSpacing w:w="0" w:type="dxa"/>
        </w:trPr>
        <w:tc>
          <w:tcPr>
            <w:tcW w:w="1985"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rsidR="00BB06E2" w:rsidRPr="00A104BA" w:rsidRDefault="00BB06E2" w:rsidP="00076F03">
            <w:pPr>
              <w:spacing w:before="120" w:after="0" w:line="240" w:lineRule="auto"/>
              <w:jc w:val="both"/>
              <w:rPr>
                <w:b/>
                <w:lang w:eastAsia="it-IT"/>
              </w:rPr>
            </w:pPr>
            <w:r w:rsidRPr="00A104BA">
              <w:rPr>
                <w:b/>
                <w:lang w:eastAsia="it-IT"/>
              </w:rPr>
              <w:t>Cassa</w:t>
            </w:r>
          </w:p>
        </w:tc>
        <w:tc>
          <w:tcPr>
            <w:tcW w:w="850"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rsidR="00BB06E2" w:rsidRPr="00A104BA" w:rsidRDefault="00BB06E2" w:rsidP="00076F03">
            <w:pPr>
              <w:spacing w:before="120" w:after="0" w:line="240" w:lineRule="auto"/>
              <w:jc w:val="both"/>
            </w:pPr>
            <w:r w:rsidRPr="00A104BA">
              <w:rPr>
                <w:b/>
                <w:bCs/>
                <w:lang w:eastAsia="it-IT"/>
              </w:rPr>
              <w:t>2017</w:t>
            </w:r>
          </w:p>
        </w:tc>
        <w:tc>
          <w:tcPr>
            <w:tcW w:w="993"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rsidR="00BB06E2" w:rsidRPr="00A104BA" w:rsidRDefault="00BB06E2" w:rsidP="00076F03">
            <w:pPr>
              <w:spacing w:before="120" w:after="0" w:line="240" w:lineRule="auto"/>
              <w:jc w:val="both"/>
            </w:pPr>
            <w:r w:rsidRPr="00A104BA">
              <w:rPr>
                <w:b/>
                <w:bCs/>
                <w:lang w:eastAsia="it-IT"/>
              </w:rPr>
              <w:t>2018</w:t>
            </w:r>
          </w:p>
        </w:tc>
        <w:tc>
          <w:tcPr>
            <w:tcW w:w="992"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rsidR="00BB06E2" w:rsidRPr="00A104BA" w:rsidRDefault="00BB06E2" w:rsidP="00076F03">
            <w:pPr>
              <w:spacing w:before="120" w:after="0" w:line="240" w:lineRule="auto"/>
              <w:jc w:val="both"/>
            </w:pPr>
            <w:r w:rsidRPr="00A104BA">
              <w:rPr>
                <w:b/>
                <w:bCs/>
                <w:lang w:eastAsia="it-IT"/>
              </w:rPr>
              <w:t>2019</w:t>
            </w:r>
          </w:p>
        </w:tc>
        <w:tc>
          <w:tcPr>
            <w:tcW w:w="992"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rsidR="00BB06E2" w:rsidRPr="00A104BA" w:rsidRDefault="00BB06E2" w:rsidP="00076F03">
            <w:pPr>
              <w:spacing w:before="120" w:after="0" w:line="240" w:lineRule="auto"/>
              <w:jc w:val="both"/>
            </w:pPr>
            <w:r w:rsidRPr="00A104BA">
              <w:rPr>
                <w:b/>
                <w:bCs/>
                <w:lang w:eastAsia="it-IT"/>
              </w:rPr>
              <w:t>2020</w:t>
            </w:r>
          </w:p>
        </w:tc>
        <w:tc>
          <w:tcPr>
            <w:tcW w:w="992"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rsidR="00BB06E2" w:rsidRPr="00A104BA" w:rsidRDefault="00BB06E2" w:rsidP="00076F03">
            <w:pPr>
              <w:spacing w:before="120" w:after="0" w:line="240" w:lineRule="auto"/>
              <w:jc w:val="both"/>
            </w:pPr>
            <w:r w:rsidRPr="00A104BA">
              <w:rPr>
                <w:b/>
                <w:bCs/>
                <w:lang w:eastAsia="it-IT"/>
              </w:rPr>
              <w:t>2021</w:t>
            </w:r>
          </w:p>
        </w:tc>
        <w:tc>
          <w:tcPr>
            <w:tcW w:w="993"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rsidR="00BB06E2" w:rsidRPr="00A104BA" w:rsidRDefault="00BB06E2" w:rsidP="00076F03">
            <w:pPr>
              <w:spacing w:before="120" w:after="0" w:line="240" w:lineRule="auto"/>
              <w:jc w:val="both"/>
            </w:pPr>
            <w:r w:rsidRPr="00A104BA">
              <w:rPr>
                <w:b/>
                <w:bCs/>
                <w:lang w:eastAsia="it-IT"/>
              </w:rPr>
              <w:t>2022</w:t>
            </w:r>
          </w:p>
        </w:tc>
        <w:tc>
          <w:tcPr>
            <w:tcW w:w="992"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rsidR="00BB06E2" w:rsidRPr="00A104BA" w:rsidRDefault="00BB06E2" w:rsidP="00076F03">
            <w:pPr>
              <w:spacing w:before="120" w:after="0" w:line="240" w:lineRule="auto"/>
              <w:jc w:val="both"/>
            </w:pPr>
            <w:r w:rsidRPr="00A104BA">
              <w:rPr>
                <w:b/>
                <w:bCs/>
                <w:lang w:eastAsia="it-IT"/>
              </w:rPr>
              <w:t>2023</w:t>
            </w:r>
          </w:p>
        </w:tc>
        <w:tc>
          <w:tcPr>
            <w:tcW w:w="992"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rsidR="00BB06E2" w:rsidRPr="00A104BA" w:rsidRDefault="00BB06E2" w:rsidP="00076F03">
            <w:pPr>
              <w:spacing w:before="120" w:after="0" w:line="240" w:lineRule="auto"/>
              <w:jc w:val="both"/>
            </w:pPr>
            <w:r w:rsidRPr="00A104BA">
              <w:rPr>
                <w:b/>
                <w:bCs/>
                <w:lang w:eastAsia="it-IT"/>
              </w:rPr>
              <w:t>2024</w:t>
            </w:r>
          </w:p>
        </w:tc>
        <w:tc>
          <w:tcPr>
            <w:tcW w:w="951"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rsidR="00BB06E2" w:rsidRPr="00A104BA" w:rsidRDefault="00BB06E2" w:rsidP="00076F03">
            <w:pPr>
              <w:spacing w:before="120" w:after="0" w:line="240" w:lineRule="auto"/>
              <w:jc w:val="both"/>
            </w:pPr>
            <w:r w:rsidRPr="00A104BA">
              <w:rPr>
                <w:b/>
                <w:bCs/>
                <w:lang w:eastAsia="it-IT"/>
              </w:rPr>
              <w:t>2025</w:t>
            </w:r>
          </w:p>
        </w:tc>
      </w:tr>
      <w:tr w:rsidR="00BB06E2" w:rsidRPr="00A104BA" w:rsidTr="00076F03">
        <w:trPr>
          <w:trHeight w:val="405"/>
          <w:tblCellSpacing w:w="0" w:type="dxa"/>
        </w:trPr>
        <w:tc>
          <w:tcPr>
            <w:tcW w:w="1985"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rsidR="00BB06E2" w:rsidRPr="00A104BA" w:rsidRDefault="00BB06E2" w:rsidP="00076F03">
            <w:pPr>
              <w:spacing w:before="120" w:after="0" w:line="240" w:lineRule="auto"/>
              <w:jc w:val="both"/>
              <w:rPr>
                <w:lang w:eastAsia="it-IT"/>
              </w:rPr>
            </w:pPr>
            <w:r w:rsidRPr="00A104BA">
              <w:rPr>
                <w:lang w:eastAsia="it-IT"/>
              </w:rPr>
              <w:t>IRES IRPEF</w:t>
            </w:r>
          </w:p>
        </w:tc>
        <w:tc>
          <w:tcPr>
            <w:tcW w:w="850"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rsidR="00BB06E2" w:rsidRPr="00A104BA" w:rsidRDefault="00BB06E2" w:rsidP="00076F03">
            <w:pPr>
              <w:spacing w:before="120" w:after="0" w:line="240" w:lineRule="auto"/>
              <w:jc w:val="both"/>
              <w:rPr>
                <w:i/>
                <w:lang w:eastAsia="it-IT"/>
              </w:rPr>
            </w:pPr>
            <w:r w:rsidRPr="00A104BA">
              <w:rPr>
                <w:i/>
                <w:lang w:eastAsia="it-IT"/>
              </w:rPr>
              <w:t>0</w:t>
            </w:r>
          </w:p>
        </w:tc>
        <w:tc>
          <w:tcPr>
            <w:tcW w:w="993"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rsidR="00BB06E2" w:rsidRPr="00A104BA" w:rsidRDefault="00BB06E2" w:rsidP="00076F03">
            <w:pPr>
              <w:spacing w:before="120" w:after="0" w:line="240" w:lineRule="auto"/>
              <w:jc w:val="both"/>
              <w:rPr>
                <w:i/>
                <w:lang w:eastAsia="it-IT"/>
              </w:rPr>
            </w:pPr>
            <w:r w:rsidRPr="00A104BA">
              <w:rPr>
                <w:i/>
                <w:lang w:eastAsia="it-IT"/>
              </w:rPr>
              <w:t>0</w:t>
            </w:r>
          </w:p>
        </w:tc>
        <w:tc>
          <w:tcPr>
            <w:tcW w:w="992"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rsidR="00BB06E2" w:rsidRPr="00A104BA" w:rsidRDefault="00BB06E2" w:rsidP="00076F03">
            <w:pPr>
              <w:spacing w:before="120" w:after="0" w:line="240" w:lineRule="auto"/>
              <w:jc w:val="both"/>
              <w:rPr>
                <w:i/>
                <w:lang w:eastAsia="it-IT"/>
              </w:rPr>
            </w:pPr>
            <w:r w:rsidRPr="00A104BA">
              <w:rPr>
                <w:i/>
                <w:lang w:eastAsia="it-IT"/>
              </w:rPr>
              <w:t>-75</w:t>
            </w:r>
          </w:p>
        </w:tc>
        <w:tc>
          <w:tcPr>
            <w:tcW w:w="992"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rsidR="00BB06E2" w:rsidRPr="00A104BA" w:rsidRDefault="00BB06E2" w:rsidP="00076F03">
            <w:pPr>
              <w:spacing w:before="120" w:after="0" w:line="240" w:lineRule="auto"/>
              <w:jc w:val="both"/>
              <w:rPr>
                <w:i/>
                <w:lang w:eastAsia="it-IT"/>
              </w:rPr>
            </w:pPr>
            <w:r w:rsidRPr="00A104BA">
              <w:rPr>
                <w:i/>
                <w:lang w:eastAsia="it-IT"/>
              </w:rPr>
              <w:t>-120</w:t>
            </w:r>
          </w:p>
        </w:tc>
        <w:tc>
          <w:tcPr>
            <w:tcW w:w="992"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rsidR="00BB06E2" w:rsidRPr="00A104BA" w:rsidRDefault="00BB06E2" w:rsidP="00076F03">
            <w:pPr>
              <w:spacing w:before="120" w:after="0" w:line="240" w:lineRule="auto"/>
              <w:jc w:val="both"/>
              <w:rPr>
                <w:i/>
                <w:lang w:eastAsia="it-IT"/>
              </w:rPr>
            </w:pPr>
            <w:r w:rsidRPr="00A104BA">
              <w:rPr>
                <w:i/>
                <w:lang w:eastAsia="it-IT"/>
              </w:rPr>
              <w:t>-85</w:t>
            </w:r>
          </w:p>
        </w:tc>
        <w:tc>
          <w:tcPr>
            <w:tcW w:w="993"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rsidR="00BB06E2" w:rsidRPr="00A104BA" w:rsidRDefault="00BB06E2" w:rsidP="00076F03">
            <w:pPr>
              <w:spacing w:before="120" w:after="0" w:line="240" w:lineRule="auto"/>
              <w:jc w:val="both"/>
              <w:rPr>
                <w:i/>
                <w:lang w:eastAsia="it-IT"/>
              </w:rPr>
            </w:pPr>
            <w:r w:rsidRPr="00A104BA">
              <w:rPr>
                <w:i/>
                <w:lang w:eastAsia="it-IT"/>
              </w:rPr>
              <w:t>-85</w:t>
            </w:r>
          </w:p>
        </w:tc>
        <w:tc>
          <w:tcPr>
            <w:tcW w:w="992"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rsidR="00BB06E2" w:rsidRPr="00A104BA" w:rsidRDefault="00BB06E2" w:rsidP="00076F03">
            <w:pPr>
              <w:spacing w:before="120" w:after="0" w:line="240" w:lineRule="auto"/>
              <w:jc w:val="both"/>
              <w:rPr>
                <w:i/>
                <w:lang w:eastAsia="it-IT"/>
              </w:rPr>
            </w:pPr>
            <w:r w:rsidRPr="00A104BA">
              <w:rPr>
                <w:i/>
                <w:lang w:eastAsia="it-IT"/>
              </w:rPr>
              <w:t>-85</w:t>
            </w:r>
          </w:p>
        </w:tc>
        <w:tc>
          <w:tcPr>
            <w:tcW w:w="992"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rsidR="00BB06E2" w:rsidRPr="00A104BA" w:rsidRDefault="00BB06E2" w:rsidP="00076F03">
            <w:pPr>
              <w:spacing w:before="120" w:after="0" w:line="240" w:lineRule="auto"/>
              <w:jc w:val="both"/>
              <w:rPr>
                <w:i/>
                <w:lang w:eastAsia="it-IT"/>
              </w:rPr>
            </w:pPr>
            <w:r w:rsidRPr="00A104BA">
              <w:rPr>
                <w:i/>
                <w:lang w:eastAsia="it-IT"/>
              </w:rPr>
              <w:t>-10</w:t>
            </w:r>
          </w:p>
        </w:tc>
        <w:tc>
          <w:tcPr>
            <w:tcW w:w="951" w:type="dxa"/>
            <w:tcBorders>
              <w:top w:val="single" w:sz="4" w:space="0" w:color="auto"/>
              <w:left w:val="single" w:sz="4" w:space="0" w:color="auto"/>
              <w:bottom w:val="single" w:sz="4" w:space="0" w:color="auto"/>
              <w:right w:val="single" w:sz="4" w:space="0" w:color="auto"/>
            </w:tcBorders>
            <w:noWrap/>
            <w:tcMar>
              <w:top w:w="0" w:type="dxa"/>
              <w:left w:w="70" w:type="dxa"/>
              <w:bottom w:w="0" w:type="dxa"/>
              <w:right w:w="70" w:type="dxa"/>
            </w:tcMar>
            <w:vAlign w:val="center"/>
            <w:hideMark/>
          </w:tcPr>
          <w:p w:rsidR="00BB06E2" w:rsidRPr="00A104BA" w:rsidRDefault="00BB06E2" w:rsidP="00076F03">
            <w:pPr>
              <w:spacing w:before="120" w:after="0" w:line="240" w:lineRule="auto"/>
              <w:jc w:val="both"/>
              <w:rPr>
                <w:i/>
                <w:lang w:eastAsia="it-IT"/>
              </w:rPr>
            </w:pPr>
            <w:r w:rsidRPr="00A104BA">
              <w:rPr>
                <w:i/>
                <w:lang w:eastAsia="it-IT"/>
              </w:rPr>
              <w:t>30</w:t>
            </w:r>
          </w:p>
        </w:tc>
      </w:tr>
    </w:tbl>
    <w:p w:rsidR="00BB06E2" w:rsidRPr="00A104BA" w:rsidRDefault="00BB06E2" w:rsidP="00BB06E2">
      <w:pPr>
        <w:pStyle w:val="Normale1"/>
        <w:rPr>
          <w:rFonts w:asciiTheme="minorHAnsi" w:hAnsiTheme="minorHAnsi"/>
        </w:rPr>
      </w:pPr>
      <w:r w:rsidRPr="00A104BA">
        <w:rPr>
          <w:rFonts w:asciiTheme="minorHAnsi" w:hAnsiTheme="minorHAnsi"/>
        </w:rPr>
        <w:t xml:space="preserve">Alla copertura di tali oneri aggiuntivi si provvede mediante l’estensione dell’ambito di applicazione del meccanismo dell’inversione contabile per l’assolvimento dell’IVA concernente le cessioni di materiale d’oro e di prodotti semilavorati dell’oro, aventi purezza pari o superiore a 325 millesimi, di cui all’articolo 17, quinto comma, del decreto del Presidente della Repubblica 26 ottobre 1972, n. 633. </w:t>
      </w:r>
    </w:p>
    <w:p w:rsidR="00BB06E2" w:rsidRPr="00A104BA" w:rsidRDefault="00BB06E2" w:rsidP="00BB06E2">
      <w:pPr>
        <w:pStyle w:val="Normale1"/>
        <w:rPr>
          <w:rFonts w:asciiTheme="minorHAnsi" w:hAnsiTheme="minorHAnsi"/>
        </w:rPr>
      </w:pPr>
      <w:r w:rsidRPr="00A104BA">
        <w:rPr>
          <w:rFonts w:asciiTheme="minorHAnsi" w:hAnsiTheme="minorHAnsi"/>
        </w:rPr>
        <w:t xml:space="preserve">Nello specifico, la norma proposta, oltre a chiarire meglio l’attuale ambito di applicazione del meccanismo dell’inversione contabile in parola, cercando di superare alcune incertezze interpretative, amplia la portata del </w:t>
      </w:r>
      <w:r w:rsidRPr="00A104BA">
        <w:rPr>
          <w:rFonts w:asciiTheme="minorHAnsi" w:hAnsiTheme="minorHAnsi"/>
          <w:i/>
        </w:rPr>
        <w:t xml:space="preserve">reverse </w:t>
      </w:r>
      <w:proofErr w:type="spellStart"/>
      <w:r w:rsidRPr="00A104BA">
        <w:rPr>
          <w:rFonts w:asciiTheme="minorHAnsi" w:hAnsiTheme="minorHAnsi"/>
          <w:i/>
        </w:rPr>
        <w:t>charge</w:t>
      </w:r>
      <w:proofErr w:type="spellEnd"/>
      <w:r w:rsidRPr="00A104BA">
        <w:rPr>
          <w:rFonts w:asciiTheme="minorHAnsi" w:hAnsiTheme="minorHAnsi"/>
        </w:rPr>
        <w:t xml:space="preserve">, con l’obiettivo di contrastare i fenomeni fraudolenti che, spesso, colpiscono il settore delle cessioni di oggetti di oreficeria usata. </w:t>
      </w:r>
    </w:p>
    <w:p w:rsidR="00BB06E2" w:rsidRPr="00A104BA" w:rsidRDefault="00BB06E2" w:rsidP="00BB06E2">
      <w:pPr>
        <w:pStyle w:val="Normale1"/>
        <w:rPr>
          <w:rFonts w:asciiTheme="minorHAnsi" w:hAnsiTheme="minorHAnsi"/>
        </w:rPr>
      </w:pPr>
      <w:r w:rsidRPr="00A104BA">
        <w:rPr>
          <w:rFonts w:asciiTheme="minorHAnsi" w:hAnsiTheme="minorHAnsi"/>
        </w:rPr>
        <w:t>Per meri fini di coordinamento normativo, si modifica altresì l’articolo 70 del decreto del Presidente della Repubblica 26 ottobre 1972, n. 633.</w:t>
      </w:r>
    </w:p>
    <w:p w:rsidR="00BB06E2" w:rsidRPr="00A104BA" w:rsidRDefault="00BB06E2" w:rsidP="00BB06E2">
      <w:pPr>
        <w:pStyle w:val="Normale1"/>
        <w:rPr>
          <w:rFonts w:asciiTheme="minorHAnsi" w:hAnsiTheme="minorHAnsi"/>
          <w:b/>
          <w:i/>
        </w:rPr>
      </w:pPr>
      <w:r w:rsidRPr="00A104BA">
        <w:rPr>
          <w:rFonts w:asciiTheme="minorHAnsi" w:hAnsiTheme="minorHAnsi"/>
        </w:rPr>
        <w:t xml:space="preserve">In base ai dati ufficiali di settore (fonte: GFMS </w:t>
      </w:r>
      <w:proofErr w:type="spellStart"/>
      <w:r w:rsidRPr="00A104BA">
        <w:rPr>
          <w:rFonts w:asciiTheme="minorHAnsi" w:hAnsiTheme="minorHAnsi"/>
        </w:rPr>
        <w:t>Gold</w:t>
      </w:r>
      <w:proofErr w:type="spellEnd"/>
      <w:r w:rsidRPr="00A104BA">
        <w:rPr>
          <w:rFonts w:asciiTheme="minorHAnsi" w:hAnsiTheme="minorHAnsi"/>
        </w:rPr>
        <w:t xml:space="preserve"> </w:t>
      </w:r>
      <w:proofErr w:type="spellStart"/>
      <w:r w:rsidRPr="00A104BA">
        <w:rPr>
          <w:rFonts w:asciiTheme="minorHAnsi" w:hAnsiTheme="minorHAnsi"/>
        </w:rPr>
        <w:t>Survey</w:t>
      </w:r>
      <w:proofErr w:type="spellEnd"/>
      <w:r w:rsidRPr="00A104BA">
        <w:rPr>
          <w:rFonts w:asciiTheme="minorHAnsi" w:hAnsiTheme="minorHAnsi"/>
        </w:rPr>
        <w:t xml:space="preserve"> 2016 e World Silver </w:t>
      </w:r>
      <w:proofErr w:type="spellStart"/>
      <w:r w:rsidRPr="00A104BA">
        <w:rPr>
          <w:rFonts w:asciiTheme="minorHAnsi" w:hAnsiTheme="minorHAnsi"/>
        </w:rPr>
        <w:t>Survey</w:t>
      </w:r>
      <w:proofErr w:type="spellEnd"/>
      <w:r w:rsidRPr="00A104BA">
        <w:rPr>
          <w:rFonts w:asciiTheme="minorHAnsi" w:hAnsiTheme="minorHAnsi"/>
        </w:rPr>
        <w:t xml:space="preserve"> 2016 </w:t>
      </w:r>
      <w:proofErr w:type="spellStart"/>
      <w:r w:rsidRPr="00A104BA">
        <w:rPr>
          <w:rFonts w:asciiTheme="minorHAnsi" w:hAnsiTheme="minorHAnsi"/>
        </w:rPr>
        <w:t>Thomson</w:t>
      </w:r>
      <w:proofErr w:type="spellEnd"/>
      <w:r w:rsidRPr="00A104BA">
        <w:rPr>
          <w:rFonts w:asciiTheme="minorHAnsi" w:hAnsiTheme="minorHAnsi"/>
        </w:rPr>
        <w:t xml:space="preserve"> </w:t>
      </w:r>
      <w:proofErr w:type="spellStart"/>
      <w:r w:rsidRPr="00A104BA">
        <w:rPr>
          <w:rFonts w:asciiTheme="minorHAnsi" w:hAnsiTheme="minorHAnsi"/>
        </w:rPr>
        <w:t>Reuters</w:t>
      </w:r>
      <w:proofErr w:type="spellEnd"/>
      <w:r w:rsidRPr="00A104BA">
        <w:rPr>
          <w:rFonts w:asciiTheme="minorHAnsi" w:hAnsiTheme="minorHAnsi"/>
        </w:rPr>
        <w:t>), si stima che l’offerta di oro proveniente da recuperi di oreficeria usata, valorizzata alla quotazione media annua dell’oro di quel periodo ammonti, nel quinquennio 2011-2015 a circa 17 miliardi di euro (come da tabella sotto riportata).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444"/>
        <w:gridCol w:w="2444"/>
        <w:gridCol w:w="2445"/>
        <w:gridCol w:w="2445"/>
      </w:tblGrid>
      <w:tr w:rsidR="00BB06E2" w:rsidRPr="00A104BA" w:rsidTr="00076F03">
        <w:tc>
          <w:tcPr>
            <w:tcW w:w="2444" w:type="dxa"/>
          </w:tcPr>
          <w:p w:rsidR="00BB06E2" w:rsidRPr="00A104BA" w:rsidRDefault="00BB06E2" w:rsidP="00076F03">
            <w:pPr>
              <w:autoSpaceDE w:val="0"/>
              <w:autoSpaceDN w:val="0"/>
              <w:adjustRightInd w:val="0"/>
              <w:spacing w:before="120" w:after="0" w:line="240" w:lineRule="auto"/>
              <w:jc w:val="both"/>
              <w:rPr>
                <w:rFonts w:cs="Calibri"/>
                <w:b/>
                <w:color w:val="000000"/>
                <w:u w:color="000000"/>
              </w:rPr>
            </w:pPr>
            <w:r w:rsidRPr="00A104BA">
              <w:rPr>
                <w:rFonts w:cs="Calibri"/>
                <w:b/>
                <w:color w:val="000000"/>
                <w:u w:color="000000"/>
              </w:rPr>
              <w:t>Anni</w:t>
            </w:r>
          </w:p>
        </w:tc>
        <w:tc>
          <w:tcPr>
            <w:tcW w:w="2444" w:type="dxa"/>
          </w:tcPr>
          <w:p w:rsidR="00BB06E2" w:rsidRPr="00A104BA" w:rsidRDefault="00BB06E2" w:rsidP="00076F03">
            <w:pPr>
              <w:autoSpaceDE w:val="0"/>
              <w:autoSpaceDN w:val="0"/>
              <w:adjustRightInd w:val="0"/>
              <w:spacing w:before="120" w:after="0" w:line="240" w:lineRule="auto"/>
              <w:jc w:val="both"/>
              <w:rPr>
                <w:rFonts w:cs="Calibri"/>
                <w:b/>
                <w:color w:val="000000"/>
                <w:u w:color="000000"/>
              </w:rPr>
            </w:pPr>
            <w:r w:rsidRPr="00A104BA">
              <w:rPr>
                <w:rFonts w:cs="Calibri"/>
                <w:b/>
                <w:color w:val="000000"/>
                <w:u w:color="000000"/>
              </w:rPr>
              <w:t>Tonnellate</w:t>
            </w:r>
          </w:p>
        </w:tc>
        <w:tc>
          <w:tcPr>
            <w:tcW w:w="2445" w:type="dxa"/>
          </w:tcPr>
          <w:p w:rsidR="00BB06E2" w:rsidRPr="00A104BA" w:rsidRDefault="00BB06E2" w:rsidP="00076F03">
            <w:pPr>
              <w:autoSpaceDE w:val="0"/>
              <w:autoSpaceDN w:val="0"/>
              <w:adjustRightInd w:val="0"/>
              <w:spacing w:before="120" w:after="0" w:line="240" w:lineRule="auto"/>
              <w:jc w:val="both"/>
              <w:rPr>
                <w:rFonts w:cs="Calibri"/>
                <w:b/>
                <w:color w:val="000000"/>
                <w:u w:color="000000"/>
              </w:rPr>
            </w:pPr>
            <w:proofErr w:type="spellStart"/>
            <w:r w:rsidRPr="00A104BA">
              <w:rPr>
                <w:rFonts w:cs="Calibri"/>
                <w:b/>
                <w:color w:val="000000"/>
                <w:u w:color="000000"/>
              </w:rPr>
              <w:t>Quotaz</w:t>
            </w:r>
            <w:proofErr w:type="spellEnd"/>
            <w:r w:rsidRPr="00A104BA">
              <w:rPr>
                <w:rFonts w:cs="Calibri"/>
                <w:b/>
                <w:color w:val="000000"/>
                <w:u w:color="000000"/>
              </w:rPr>
              <w:t xml:space="preserve">. Media </w:t>
            </w:r>
            <w:proofErr w:type="spellStart"/>
            <w:r w:rsidRPr="00A104BA">
              <w:rPr>
                <w:rFonts w:cs="Calibri"/>
                <w:b/>
                <w:color w:val="000000"/>
                <w:u w:color="000000"/>
              </w:rPr>
              <w:t>Fix</w:t>
            </w:r>
            <w:proofErr w:type="spellEnd"/>
            <w:r w:rsidRPr="00A104BA">
              <w:rPr>
                <w:rFonts w:cs="Calibri"/>
                <w:b/>
                <w:color w:val="000000"/>
                <w:u w:color="000000"/>
              </w:rPr>
              <w:t xml:space="preserve"> €/gr.</w:t>
            </w:r>
          </w:p>
        </w:tc>
        <w:tc>
          <w:tcPr>
            <w:tcW w:w="2445" w:type="dxa"/>
          </w:tcPr>
          <w:p w:rsidR="00BB06E2" w:rsidRPr="00A104BA" w:rsidRDefault="00BB06E2" w:rsidP="00076F03">
            <w:pPr>
              <w:autoSpaceDE w:val="0"/>
              <w:autoSpaceDN w:val="0"/>
              <w:adjustRightInd w:val="0"/>
              <w:spacing w:before="120" w:after="0" w:line="240" w:lineRule="auto"/>
              <w:jc w:val="both"/>
              <w:rPr>
                <w:rFonts w:cs="Calibri"/>
                <w:b/>
                <w:color w:val="000000"/>
                <w:u w:color="000000"/>
              </w:rPr>
            </w:pPr>
            <w:r w:rsidRPr="00A104BA">
              <w:rPr>
                <w:rFonts w:cs="Calibri"/>
                <w:b/>
                <w:color w:val="000000"/>
                <w:u w:color="000000"/>
              </w:rPr>
              <w:t>Totale €</w:t>
            </w:r>
          </w:p>
        </w:tc>
      </w:tr>
      <w:tr w:rsidR="00BB06E2" w:rsidRPr="00A104BA" w:rsidTr="00076F03">
        <w:tc>
          <w:tcPr>
            <w:tcW w:w="2444" w:type="dxa"/>
          </w:tcPr>
          <w:p w:rsidR="00BB06E2" w:rsidRPr="00A104BA" w:rsidRDefault="00BB06E2" w:rsidP="00076F03">
            <w:pPr>
              <w:autoSpaceDE w:val="0"/>
              <w:autoSpaceDN w:val="0"/>
              <w:adjustRightInd w:val="0"/>
              <w:spacing w:before="120" w:after="0" w:line="240" w:lineRule="auto"/>
              <w:jc w:val="both"/>
              <w:rPr>
                <w:rFonts w:cs="Calibri"/>
                <w:color w:val="000000"/>
                <w:u w:color="000000"/>
              </w:rPr>
            </w:pPr>
            <w:r w:rsidRPr="00A104BA">
              <w:rPr>
                <w:rFonts w:cs="Calibri"/>
                <w:color w:val="000000"/>
                <w:u w:color="000000"/>
              </w:rPr>
              <w:t>2011</w:t>
            </w:r>
          </w:p>
        </w:tc>
        <w:tc>
          <w:tcPr>
            <w:tcW w:w="2444" w:type="dxa"/>
          </w:tcPr>
          <w:p w:rsidR="00BB06E2" w:rsidRPr="00A104BA" w:rsidRDefault="00BB06E2" w:rsidP="00076F03">
            <w:pPr>
              <w:autoSpaceDE w:val="0"/>
              <w:autoSpaceDN w:val="0"/>
              <w:adjustRightInd w:val="0"/>
              <w:spacing w:before="120" w:after="0" w:line="240" w:lineRule="auto"/>
              <w:jc w:val="both"/>
              <w:rPr>
                <w:rFonts w:cs="Calibri"/>
                <w:color w:val="000000"/>
                <w:u w:color="000000"/>
              </w:rPr>
            </w:pPr>
            <w:r w:rsidRPr="00A104BA">
              <w:rPr>
                <w:rFonts w:cs="Calibri"/>
                <w:color w:val="000000"/>
                <w:u w:color="000000"/>
              </w:rPr>
              <w:t>116,5</w:t>
            </w:r>
          </w:p>
        </w:tc>
        <w:tc>
          <w:tcPr>
            <w:tcW w:w="2445" w:type="dxa"/>
          </w:tcPr>
          <w:p w:rsidR="00BB06E2" w:rsidRPr="00A104BA" w:rsidRDefault="00BB06E2" w:rsidP="00076F03">
            <w:pPr>
              <w:autoSpaceDE w:val="0"/>
              <w:autoSpaceDN w:val="0"/>
              <w:adjustRightInd w:val="0"/>
              <w:spacing w:before="120" w:after="0" w:line="240" w:lineRule="auto"/>
              <w:jc w:val="both"/>
              <w:rPr>
                <w:rFonts w:cs="Calibri"/>
                <w:color w:val="000000"/>
                <w:u w:color="000000"/>
              </w:rPr>
            </w:pPr>
            <w:r w:rsidRPr="00A104BA">
              <w:rPr>
                <w:rFonts w:cs="Calibri"/>
                <w:color w:val="000000"/>
                <w:u w:color="000000"/>
              </w:rPr>
              <w:t>36,27</w:t>
            </w:r>
          </w:p>
        </w:tc>
        <w:tc>
          <w:tcPr>
            <w:tcW w:w="2445" w:type="dxa"/>
          </w:tcPr>
          <w:p w:rsidR="00BB06E2" w:rsidRPr="00A104BA" w:rsidRDefault="00BB06E2" w:rsidP="00076F03">
            <w:pPr>
              <w:autoSpaceDE w:val="0"/>
              <w:autoSpaceDN w:val="0"/>
              <w:adjustRightInd w:val="0"/>
              <w:spacing w:before="120" w:after="0" w:line="240" w:lineRule="auto"/>
              <w:jc w:val="both"/>
              <w:rPr>
                <w:rFonts w:cs="Calibri"/>
                <w:color w:val="000000"/>
                <w:u w:color="000000"/>
              </w:rPr>
            </w:pPr>
            <w:r w:rsidRPr="00A104BA">
              <w:rPr>
                <w:rFonts w:cs="Calibri"/>
                <w:color w:val="000000"/>
                <w:u w:color="000000"/>
              </w:rPr>
              <w:t>4.225.882.167</w:t>
            </w:r>
          </w:p>
        </w:tc>
      </w:tr>
      <w:tr w:rsidR="00BB06E2" w:rsidRPr="00A104BA" w:rsidTr="00076F03">
        <w:tc>
          <w:tcPr>
            <w:tcW w:w="2444" w:type="dxa"/>
          </w:tcPr>
          <w:p w:rsidR="00BB06E2" w:rsidRPr="00A104BA" w:rsidRDefault="00BB06E2" w:rsidP="00076F03">
            <w:pPr>
              <w:autoSpaceDE w:val="0"/>
              <w:autoSpaceDN w:val="0"/>
              <w:adjustRightInd w:val="0"/>
              <w:spacing w:before="120" w:after="0" w:line="240" w:lineRule="auto"/>
              <w:jc w:val="both"/>
              <w:rPr>
                <w:rFonts w:cs="Calibri"/>
                <w:color w:val="000000"/>
                <w:u w:color="000000"/>
              </w:rPr>
            </w:pPr>
            <w:r w:rsidRPr="00A104BA">
              <w:rPr>
                <w:rFonts w:cs="Calibri"/>
                <w:color w:val="000000"/>
                <w:u w:color="000000"/>
              </w:rPr>
              <w:t>2012</w:t>
            </w:r>
          </w:p>
        </w:tc>
        <w:tc>
          <w:tcPr>
            <w:tcW w:w="2444" w:type="dxa"/>
          </w:tcPr>
          <w:p w:rsidR="00BB06E2" w:rsidRPr="00A104BA" w:rsidRDefault="00BB06E2" w:rsidP="00076F03">
            <w:pPr>
              <w:autoSpaceDE w:val="0"/>
              <w:autoSpaceDN w:val="0"/>
              <w:adjustRightInd w:val="0"/>
              <w:spacing w:before="120" w:after="0" w:line="240" w:lineRule="auto"/>
              <w:jc w:val="both"/>
              <w:rPr>
                <w:rFonts w:cs="Calibri"/>
                <w:color w:val="000000"/>
                <w:u w:color="000000"/>
              </w:rPr>
            </w:pPr>
            <w:r w:rsidRPr="00A104BA">
              <w:rPr>
                <w:rFonts w:cs="Calibri"/>
                <w:color w:val="000000"/>
                <w:u w:color="000000"/>
              </w:rPr>
              <w:t>122,6</w:t>
            </w:r>
          </w:p>
        </w:tc>
        <w:tc>
          <w:tcPr>
            <w:tcW w:w="2445" w:type="dxa"/>
          </w:tcPr>
          <w:p w:rsidR="00BB06E2" w:rsidRPr="00A104BA" w:rsidRDefault="00BB06E2" w:rsidP="00076F03">
            <w:pPr>
              <w:autoSpaceDE w:val="0"/>
              <w:autoSpaceDN w:val="0"/>
              <w:adjustRightInd w:val="0"/>
              <w:spacing w:before="120" w:after="0" w:line="240" w:lineRule="auto"/>
              <w:jc w:val="both"/>
              <w:rPr>
                <w:rFonts w:cs="Calibri"/>
                <w:color w:val="000000"/>
                <w:u w:color="000000"/>
              </w:rPr>
            </w:pPr>
            <w:r w:rsidRPr="00A104BA">
              <w:rPr>
                <w:rFonts w:cs="Calibri"/>
                <w:color w:val="000000"/>
                <w:u w:color="000000"/>
              </w:rPr>
              <w:t>41,55</w:t>
            </w:r>
          </w:p>
        </w:tc>
        <w:tc>
          <w:tcPr>
            <w:tcW w:w="2445" w:type="dxa"/>
          </w:tcPr>
          <w:p w:rsidR="00BB06E2" w:rsidRPr="00A104BA" w:rsidRDefault="00BB06E2" w:rsidP="00076F03">
            <w:pPr>
              <w:autoSpaceDE w:val="0"/>
              <w:autoSpaceDN w:val="0"/>
              <w:adjustRightInd w:val="0"/>
              <w:spacing w:before="120" w:after="0" w:line="240" w:lineRule="auto"/>
              <w:jc w:val="both"/>
              <w:rPr>
                <w:rFonts w:cs="Calibri"/>
                <w:color w:val="000000"/>
                <w:u w:color="000000"/>
              </w:rPr>
            </w:pPr>
            <w:r w:rsidRPr="00A104BA">
              <w:rPr>
                <w:rFonts w:cs="Calibri"/>
                <w:color w:val="000000"/>
                <w:u w:color="000000"/>
              </w:rPr>
              <w:t>5.093.846.100</w:t>
            </w:r>
          </w:p>
        </w:tc>
      </w:tr>
      <w:tr w:rsidR="00BB06E2" w:rsidRPr="00A104BA" w:rsidTr="00076F03">
        <w:tc>
          <w:tcPr>
            <w:tcW w:w="2444" w:type="dxa"/>
          </w:tcPr>
          <w:p w:rsidR="00BB06E2" w:rsidRPr="00A104BA" w:rsidRDefault="00BB06E2" w:rsidP="00076F03">
            <w:pPr>
              <w:autoSpaceDE w:val="0"/>
              <w:autoSpaceDN w:val="0"/>
              <w:adjustRightInd w:val="0"/>
              <w:spacing w:before="120" w:after="0" w:line="240" w:lineRule="auto"/>
              <w:jc w:val="both"/>
              <w:rPr>
                <w:rFonts w:cs="Calibri"/>
                <w:color w:val="000000"/>
                <w:u w:color="000000"/>
              </w:rPr>
            </w:pPr>
            <w:r w:rsidRPr="00A104BA">
              <w:rPr>
                <w:rFonts w:cs="Calibri"/>
                <w:color w:val="000000"/>
                <w:u w:color="000000"/>
              </w:rPr>
              <w:t>2013</w:t>
            </w:r>
          </w:p>
        </w:tc>
        <w:tc>
          <w:tcPr>
            <w:tcW w:w="2444" w:type="dxa"/>
          </w:tcPr>
          <w:p w:rsidR="00BB06E2" w:rsidRPr="00A104BA" w:rsidRDefault="00BB06E2" w:rsidP="00076F03">
            <w:pPr>
              <w:autoSpaceDE w:val="0"/>
              <w:autoSpaceDN w:val="0"/>
              <w:adjustRightInd w:val="0"/>
              <w:spacing w:before="120" w:after="0" w:line="240" w:lineRule="auto"/>
              <w:jc w:val="both"/>
              <w:rPr>
                <w:rFonts w:cs="Calibri"/>
                <w:color w:val="000000"/>
                <w:u w:color="000000"/>
              </w:rPr>
            </w:pPr>
            <w:r w:rsidRPr="00A104BA">
              <w:rPr>
                <w:rFonts w:cs="Calibri"/>
                <w:color w:val="000000"/>
                <w:u w:color="000000"/>
              </w:rPr>
              <w:t>85,5</w:t>
            </w:r>
          </w:p>
        </w:tc>
        <w:tc>
          <w:tcPr>
            <w:tcW w:w="2445" w:type="dxa"/>
          </w:tcPr>
          <w:p w:rsidR="00BB06E2" w:rsidRPr="00A104BA" w:rsidRDefault="00BB06E2" w:rsidP="00076F03">
            <w:pPr>
              <w:autoSpaceDE w:val="0"/>
              <w:autoSpaceDN w:val="0"/>
              <w:adjustRightInd w:val="0"/>
              <w:spacing w:before="120" w:after="0" w:line="240" w:lineRule="auto"/>
              <w:jc w:val="both"/>
              <w:rPr>
                <w:rFonts w:cs="Calibri"/>
                <w:color w:val="000000"/>
                <w:u w:color="000000"/>
              </w:rPr>
            </w:pPr>
            <w:r w:rsidRPr="00A104BA">
              <w:rPr>
                <w:rFonts w:cs="Calibri"/>
                <w:color w:val="000000"/>
                <w:u w:color="000000"/>
              </w:rPr>
              <w:t>34,15</w:t>
            </w:r>
          </w:p>
        </w:tc>
        <w:tc>
          <w:tcPr>
            <w:tcW w:w="2445" w:type="dxa"/>
          </w:tcPr>
          <w:p w:rsidR="00BB06E2" w:rsidRPr="00A104BA" w:rsidRDefault="00BB06E2" w:rsidP="00076F03">
            <w:pPr>
              <w:autoSpaceDE w:val="0"/>
              <w:autoSpaceDN w:val="0"/>
              <w:adjustRightInd w:val="0"/>
              <w:spacing w:before="120" w:after="0" w:line="240" w:lineRule="auto"/>
              <w:jc w:val="both"/>
              <w:rPr>
                <w:rFonts w:cs="Calibri"/>
                <w:color w:val="000000"/>
                <w:u w:color="000000"/>
              </w:rPr>
            </w:pPr>
            <w:r w:rsidRPr="00A104BA">
              <w:rPr>
                <w:rFonts w:cs="Calibri"/>
                <w:color w:val="000000"/>
                <w:u w:color="000000"/>
              </w:rPr>
              <w:t>2.919.936.150</w:t>
            </w:r>
          </w:p>
        </w:tc>
      </w:tr>
      <w:tr w:rsidR="00BB06E2" w:rsidRPr="00A104BA" w:rsidTr="00076F03">
        <w:tc>
          <w:tcPr>
            <w:tcW w:w="2444" w:type="dxa"/>
          </w:tcPr>
          <w:p w:rsidR="00BB06E2" w:rsidRPr="00A104BA" w:rsidRDefault="00BB06E2" w:rsidP="00076F03">
            <w:pPr>
              <w:autoSpaceDE w:val="0"/>
              <w:autoSpaceDN w:val="0"/>
              <w:adjustRightInd w:val="0"/>
              <w:spacing w:before="120" w:after="0" w:line="240" w:lineRule="auto"/>
              <w:jc w:val="both"/>
              <w:rPr>
                <w:rFonts w:cs="Calibri"/>
                <w:color w:val="000000"/>
                <w:u w:color="000000"/>
              </w:rPr>
            </w:pPr>
            <w:r w:rsidRPr="00A104BA">
              <w:rPr>
                <w:rFonts w:cs="Calibri"/>
                <w:color w:val="000000"/>
                <w:u w:color="000000"/>
              </w:rPr>
              <w:t>2014</w:t>
            </w:r>
          </w:p>
        </w:tc>
        <w:tc>
          <w:tcPr>
            <w:tcW w:w="2444" w:type="dxa"/>
          </w:tcPr>
          <w:p w:rsidR="00BB06E2" w:rsidRPr="00A104BA" w:rsidRDefault="00BB06E2" w:rsidP="00076F03">
            <w:pPr>
              <w:autoSpaceDE w:val="0"/>
              <w:autoSpaceDN w:val="0"/>
              <w:adjustRightInd w:val="0"/>
              <w:spacing w:before="120" w:after="0" w:line="240" w:lineRule="auto"/>
              <w:jc w:val="both"/>
              <w:rPr>
                <w:rFonts w:cs="Calibri"/>
                <w:color w:val="000000"/>
                <w:u w:color="000000"/>
              </w:rPr>
            </w:pPr>
            <w:r w:rsidRPr="00A104BA">
              <w:rPr>
                <w:rFonts w:cs="Calibri"/>
                <w:color w:val="000000"/>
                <w:u w:color="000000"/>
              </w:rPr>
              <w:t>75,4</w:t>
            </w:r>
          </w:p>
        </w:tc>
        <w:tc>
          <w:tcPr>
            <w:tcW w:w="2445" w:type="dxa"/>
          </w:tcPr>
          <w:p w:rsidR="00BB06E2" w:rsidRPr="00A104BA" w:rsidRDefault="00BB06E2" w:rsidP="00076F03">
            <w:pPr>
              <w:autoSpaceDE w:val="0"/>
              <w:autoSpaceDN w:val="0"/>
              <w:adjustRightInd w:val="0"/>
              <w:spacing w:before="120" w:after="0" w:line="240" w:lineRule="auto"/>
              <w:jc w:val="both"/>
              <w:rPr>
                <w:rFonts w:cs="Calibri"/>
                <w:color w:val="000000"/>
                <w:u w:color="000000"/>
              </w:rPr>
            </w:pPr>
            <w:r w:rsidRPr="00A104BA">
              <w:rPr>
                <w:rFonts w:cs="Calibri"/>
                <w:color w:val="000000"/>
                <w:u w:color="000000"/>
              </w:rPr>
              <w:t>30,69</w:t>
            </w:r>
          </w:p>
        </w:tc>
        <w:tc>
          <w:tcPr>
            <w:tcW w:w="2445" w:type="dxa"/>
          </w:tcPr>
          <w:p w:rsidR="00BB06E2" w:rsidRPr="00A104BA" w:rsidRDefault="00BB06E2" w:rsidP="00076F03">
            <w:pPr>
              <w:autoSpaceDE w:val="0"/>
              <w:autoSpaceDN w:val="0"/>
              <w:adjustRightInd w:val="0"/>
              <w:spacing w:before="120" w:after="0" w:line="240" w:lineRule="auto"/>
              <w:jc w:val="both"/>
              <w:rPr>
                <w:rFonts w:cs="Calibri"/>
                <w:color w:val="000000"/>
                <w:u w:color="000000"/>
              </w:rPr>
            </w:pPr>
            <w:r w:rsidRPr="00A104BA">
              <w:rPr>
                <w:rFonts w:cs="Calibri"/>
                <w:color w:val="000000"/>
                <w:u w:color="000000"/>
              </w:rPr>
              <w:t>2.314.394.679</w:t>
            </w:r>
          </w:p>
        </w:tc>
      </w:tr>
      <w:tr w:rsidR="00BB06E2" w:rsidRPr="00A104BA" w:rsidTr="00076F03">
        <w:tc>
          <w:tcPr>
            <w:tcW w:w="2444" w:type="dxa"/>
          </w:tcPr>
          <w:p w:rsidR="00BB06E2" w:rsidRPr="00A104BA" w:rsidRDefault="00BB06E2" w:rsidP="00076F03">
            <w:pPr>
              <w:autoSpaceDE w:val="0"/>
              <w:autoSpaceDN w:val="0"/>
              <w:adjustRightInd w:val="0"/>
              <w:spacing w:before="120" w:after="0" w:line="240" w:lineRule="auto"/>
              <w:jc w:val="both"/>
              <w:rPr>
                <w:rFonts w:cs="Calibri"/>
                <w:color w:val="000000"/>
                <w:u w:color="000000"/>
              </w:rPr>
            </w:pPr>
            <w:r w:rsidRPr="00A104BA">
              <w:rPr>
                <w:rFonts w:cs="Calibri"/>
                <w:color w:val="000000"/>
                <w:u w:color="000000"/>
              </w:rPr>
              <w:t>2015</w:t>
            </w:r>
          </w:p>
        </w:tc>
        <w:tc>
          <w:tcPr>
            <w:tcW w:w="2444" w:type="dxa"/>
          </w:tcPr>
          <w:p w:rsidR="00BB06E2" w:rsidRPr="00A104BA" w:rsidRDefault="00BB06E2" w:rsidP="00076F03">
            <w:pPr>
              <w:autoSpaceDE w:val="0"/>
              <w:autoSpaceDN w:val="0"/>
              <w:adjustRightInd w:val="0"/>
              <w:spacing w:before="120" w:after="0" w:line="240" w:lineRule="auto"/>
              <w:jc w:val="both"/>
              <w:rPr>
                <w:rFonts w:cs="Calibri"/>
                <w:color w:val="000000"/>
                <w:u w:color="000000"/>
              </w:rPr>
            </w:pPr>
            <w:r w:rsidRPr="00A104BA">
              <w:rPr>
                <w:rFonts w:cs="Calibri"/>
                <w:color w:val="000000"/>
                <w:u w:color="000000"/>
              </w:rPr>
              <w:t>68,9</w:t>
            </w:r>
          </w:p>
        </w:tc>
        <w:tc>
          <w:tcPr>
            <w:tcW w:w="2445" w:type="dxa"/>
          </w:tcPr>
          <w:p w:rsidR="00BB06E2" w:rsidRPr="00A104BA" w:rsidRDefault="00BB06E2" w:rsidP="00076F03">
            <w:pPr>
              <w:autoSpaceDE w:val="0"/>
              <w:autoSpaceDN w:val="0"/>
              <w:adjustRightInd w:val="0"/>
              <w:spacing w:before="120" w:after="0" w:line="240" w:lineRule="auto"/>
              <w:jc w:val="both"/>
              <w:rPr>
                <w:rFonts w:cs="Calibri"/>
                <w:color w:val="000000"/>
                <w:u w:color="000000"/>
              </w:rPr>
            </w:pPr>
            <w:r w:rsidRPr="00A104BA">
              <w:rPr>
                <w:rFonts w:cs="Calibri"/>
                <w:color w:val="000000"/>
                <w:u w:color="000000"/>
              </w:rPr>
              <w:t>33,67</w:t>
            </w:r>
          </w:p>
        </w:tc>
        <w:tc>
          <w:tcPr>
            <w:tcW w:w="2445" w:type="dxa"/>
          </w:tcPr>
          <w:p w:rsidR="00BB06E2" w:rsidRPr="00A104BA" w:rsidRDefault="00BB06E2" w:rsidP="00076F03">
            <w:pPr>
              <w:autoSpaceDE w:val="0"/>
              <w:autoSpaceDN w:val="0"/>
              <w:adjustRightInd w:val="0"/>
              <w:spacing w:before="120" w:after="0" w:line="240" w:lineRule="auto"/>
              <w:jc w:val="both"/>
              <w:rPr>
                <w:rFonts w:cs="Calibri"/>
                <w:color w:val="000000"/>
                <w:u w:color="000000"/>
              </w:rPr>
            </w:pPr>
            <w:r w:rsidRPr="00A104BA">
              <w:rPr>
                <w:rFonts w:cs="Calibri"/>
                <w:color w:val="000000"/>
                <w:u w:color="000000"/>
              </w:rPr>
              <w:t>2.319.681.920</w:t>
            </w:r>
          </w:p>
        </w:tc>
      </w:tr>
      <w:tr w:rsidR="00BB06E2" w:rsidRPr="00A104BA" w:rsidTr="00076F03">
        <w:trPr>
          <w:gridAfter w:val="2"/>
          <w:wAfter w:w="4890" w:type="dxa"/>
        </w:trPr>
        <w:tc>
          <w:tcPr>
            <w:tcW w:w="4888" w:type="dxa"/>
            <w:gridSpan w:val="2"/>
          </w:tcPr>
          <w:p w:rsidR="00BB06E2" w:rsidRPr="00A104BA" w:rsidRDefault="00BB06E2" w:rsidP="00076F03">
            <w:pPr>
              <w:autoSpaceDE w:val="0"/>
              <w:autoSpaceDN w:val="0"/>
              <w:adjustRightInd w:val="0"/>
              <w:spacing w:before="120" w:after="0" w:line="240" w:lineRule="auto"/>
              <w:jc w:val="both"/>
              <w:rPr>
                <w:rFonts w:cs="Calibri"/>
                <w:i/>
                <w:color w:val="000000"/>
                <w:u w:color="000000"/>
              </w:rPr>
            </w:pPr>
            <w:r w:rsidRPr="00A104BA">
              <w:rPr>
                <w:rFonts w:cs="Calibri"/>
                <w:i/>
                <w:color w:val="000000"/>
                <w:u w:color="000000"/>
              </w:rPr>
              <w:t xml:space="preserve">Fonte: GFMS </w:t>
            </w:r>
            <w:proofErr w:type="spellStart"/>
            <w:r w:rsidRPr="00A104BA">
              <w:rPr>
                <w:rFonts w:cs="Calibri"/>
                <w:i/>
                <w:color w:val="000000"/>
                <w:u w:color="000000"/>
              </w:rPr>
              <w:t>Gold</w:t>
            </w:r>
            <w:proofErr w:type="spellEnd"/>
            <w:r w:rsidRPr="00A104BA">
              <w:rPr>
                <w:rFonts w:cs="Calibri"/>
                <w:i/>
                <w:color w:val="000000"/>
                <w:u w:color="000000"/>
              </w:rPr>
              <w:t xml:space="preserve"> </w:t>
            </w:r>
            <w:proofErr w:type="spellStart"/>
            <w:r w:rsidRPr="00A104BA">
              <w:rPr>
                <w:rFonts w:cs="Calibri"/>
                <w:i/>
                <w:color w:val="000000"/>
                <w:u w:color="000000"/>
              </w:rPr>
              <w:t>Survey</w:t>
            </w:r>
            <w:proofErr w:type="spellEnd"/>
            <w:r w:rsidRPr="00A104BA">
              <w:rPr>
                <w:rFonts w:cs="Calibri"/>
                <w:i/>
                <w:color w:val="000000"/>
                <w:u w:color="000000"/>
              </w:rPr>
              <w:t xml:space="preserve"> 2016</w:t>
            </w:r>
          </w:p>
        </w:tc>
      </w:tr>
    </w:tbl>
    <w:p w:rsidR="00BB06E2" w:rsidRPr="00A104BA" w:rsidRDefault="00BB06E2" w:rsidP="00BB06E2">
      <w:pPr>
        <w:pStyle w:val="Normale1"/>
        <w:rPr>
          <w:rFonts w:asciiTheme="minorHAnsi" w:hAnsiTheme="minorHAnsi"/>
        </w:rPr>
      </w:pPr>
      <w:r w:rsidRPr="00A104BA">
        <w:rPr>
          <w:rFonts w:asciiTheme="minorHAnsi" w:hAnsiTheme="minorHAnsi"/>
        </w:rPr>
        <w:t xml:space="preserve">Ipotizzando che il meccanismo in esame comporti un’emersione dell’imposta fraudolentemente evasa sulle cessioni in parola di circa il 9%, si può stimare un recupero di gettito pari a circa 340 milioni di euro (17 miliardi x 22% x 9 % = 336 milioni di euro), ossia, su base annua, un maggior gettito pari a circa 68 milioni di euro. </w:t>
      </w:r>
    </w:p>
    <w:p w:rsidR="00BB06E2" w:rsidRPr="00A104BA" w:rsidRDefault="00BB06E2" w:rsidP="00BB06E2">
      <w:pPr>
        <w:pStyle w:val="Normale1"/>
        <w:rPr>
          <w:rFonts w:asciiTheme="minorHAnsi" w:hAnsiTheme="minorHAnsi"/>
        </w:rPr>
      </w:pPr>
      <w:r w:rsidRPr="00A104BA">
        <w:rPr>
          <w:rFonts w:asciiTheme="minorHAnsi" w:hAnsiTheme="minorHAnsi"/>
        </w:rPr>
        <w:t xml:space="preserve">Agli oneri residui, pari a 7 milioni nel 2019, 57 milioni di euro nel 2020, 17 milioni di euro dal 2021 fino al 2023 e 10 milioni di euro nel 2024, si provvede mediante corrispondente riduzione dello stanziamento iscritto nello stato di previsione del Ministero delle Politiche Agricole, Alimentari e Forestali per la missione "Agricoltura, politiche agroalimentari e pesca" del programma "Politiche competitive, della qualità agroalimentare, della pesca, dell'ippica e mezzi tecnici di produzione". </w:t>
      </w:r>
    </w:p>
    <w:p w:rsidR="00BB06E2" w:rsidRPr="00A104BA" w:rsidRDefault="00BB06E2" w:rsidP="00BB06E2">
      <w:pPr>
        <w:spacing w:before="120" w:after="0" w:line="240" w:lineRule="auto"/>
        <w:jc w:val="both"/>
        <w:rPr>
          <w:b/>
        </w:rPr>
      </w:pPr>
    </w:p>
    <w:p w:rsidR="00BB06E2" w:rsidRPr="00A104BA" w:rsidRDefault="00BB06E2" w:rsidP="00BB06E2">
      <w:pPr>
        <w:spacing w:before="120" w:after="0" w:line="240" w:lineRule="auto"/>
        <w:jc w:val="both"/>
        <w:rPr>
          <w:b/>
        </w:rPr>
      </w:pPr>
      <w:r w:rsidRPr="00A104BA">
        <w:rPr>
          <w:b/>
        </w:rPr>
        <w:br w:type="page"/>
      </w:r>
    </w:p>
    <w:p w:rsidR="002256EB" w:rsidRPr="00A104BA" w:rsidRDefault="002256EB" w:rsidP="002256EB">
      <w:pPr>
        <w:spacing w:before="120" w:after="0" w:line="240" w:lineRule="auto"/>
        <w:jc w:val="right"/>
        <w:rPr>
          <w:b/>
          <w:color w:val="FF0000"/>
        </w:rPr>
      </w:pPr>
      <w:r w:rsidRPr="00A104BA">
        <w:rPr>
          <w:b/>
          <w:color w:val="FF0000"/>
        </w:rPr>
        <w:t>ULTERIORE PROROGA TERMINI IPER-AMMORTAMENTO</w:t>
      </w:r>
      <w:r>
        <w:rPr>
          <w:b/>
          <w:color w:val="FF0000"/>
        </w:rPr>
        <w:t xml:space="preserve"> –</w:t>
      </w:r>
      <w:r w:rsidR="0090011E">
        <w:rPr>
          <w:b/>
          <w:color w:val="FF0000"/>
        </w:rPr>
        <w:t xml:space="preserve"> 3 </w:t>
      </w:r>
      <w:r>
        <w:rPr>
          <w:b/>
          <w:color w:val="FF0000"/>
        </w:rPr>
        <w:t>MESI</w:t>
      </w:r>
    </w:p>
    <w:p w:rsidR="002256EB" w:rsidRDefault="002256EB" w:rsidP="002256EB">
      <w:pPr>
        <w:spacing w:before="120" w:after="0" w:line="240" w:lineRule="auto"/>
        <w:jc w:val="center"/>
        <w:rPr>
          <w:b/>
        </w:rPr>
      </w:pPr>
    </w:p>
    <w:p w:rsidR="002256EB" w:rsidRPr="00A104BA" w:rsidRDefault="002256EB" w:rsidP="002256EB">
      <w:pPr>
        <w:spacing w:before="120" w:after="0" w:line="240" w:lineRule="auto"/>
        <w:jc w:val="center"/>
        <w:rPr>
          <w:b/>
        </w:rPr>
      </w:pPr>
      <w:r w:rsidRPr="00A104BA">
        <w:rPr>
          <w:b/>
        </w:rPr>
        <w:t>DDL recante “Conversione in legge del decreto-legge 20 giugno 2017, n. 91, recante disposizioni urgenti per la crescita economica nel Mezzogiorno”</w:t>
      </w:r>
    </w:p>
    <w:p w:rsidR="002256EB" w:rsidRPr="00A104BA" w:rsidRDefault="002256EB" w:rsidP="002256EB">
      <w:pPr>
        <w:spacing w:before="120" w:after="0" w:line="240" w:lineRule="auto"/>
        <w:jc w:val="center"/>
        <w:rPr>
          <w:b/>
        </w:rPr>
      </w:pPr>
      <w:r w:rsidRPr="00A104BA">
        <w:rPr>
          <w:b/>
        </w:rPr>
        <w:t>(AS 2860)</w:t>
      </w:r>
    </w:p>
    <w:p w:rsidR="002256EB" w:rsidRPr="00A104BA" w:rsidRDefault="002256EB" w:rsidP="002256EB">
      <w:pPr>
        <w:spacing w:before="120" w:after="0" w:line="240" w:lineRule="auto"/>
        <w:jc w:val="both"/>
        <w:rPr>
          <w:b/>
          <w:bCs/>
          <w:smallCaps/>
        </w:rPr>
      </w:pPr>
      <w:r w:rsidRPr="00A104BA">
        <w:rPr>
          <w:b/>
          <w:bCs/>
          <w:smallCaps/>
        </w:rPr>
        <w:t xml:space="preserve">Emendamento </w:t>
      </w:r>
    </w:p>
    <w:p w:rsidR="002256EB" w:rsidRPr="00A104BA" w:rsidRDefault="002256EB" w:rsidP="002256EB">
      <w:pPr>
        <w:spacing w:before="120" w:after="0" w:line="240" w:lineRule="auto"/>
        <w:jc w:val="both"/>
        <w:rPr>
          <w:rFonts w:eastAsia="Times New Roman"/>
        </w:rPr>
      </w:pPr>
      <w:r w:rsidRPr="00A104BA">
        <w:rPr>
          <w:rFonts w:eastAsia="Times New Roman"/>
        </w:rPr>
        <w:t>All’articolo 14 apportare le seguenti modificazioni:</w:t>
      </w:r>
    </w:p>
    <w:p w:rsidR="002256EB" w:rsidRPr="00A104BA" w:rsidRDefault="002256EB" w:rsidP="002256EB">
      <w:pPr>
        <w:spacing w:before="120" w:after="0" w:line="240" w:lineRule="auto"/>
        <w:jc w:val="both"/>
      </w:pPr>
      <w:r w:rsidRPr="00A104BA">
        <w:rPr>
          <w:rFonts w:eastAsia="Times New Roman"/>
        </w:rPr>
        <w:t>a) al comma 1, lettera b)</w:t>
      </w:r>
      <w:r>
        <w:rPr>
          <w:rFonts w:eastAsia="Times New Roman"/>
        </w:rPr>
        <w:t>,</w:t>
      </w:r>
      <w:r w:rsidRPr="00A104BA">
        <w:rPr>
          <w:rFonts w:eastAsia="Times New Roman"/>
        </w:rPr>
        <w:t xml:space="preserve"> le parole </w:t>
      </w:r>
      <w:r w:rsidRPr="00A104BA">
        <w:t>«entro il 31 luglio 2018» sono sostituite dalle seguenti</w:t>
      </w:r>
      <w:r w:rsidRPr="00A104BA">
        <w:rPr>
          <w:rFonts w:eastAsia="Times New Roman"/>
        </w:rPr>
        <w:t xml:space="preserve">: </w:t>
      </w:r>
      <w:r w:rsidR="005C42DB">
        <w:t xml:space="preserve">«entro il 30 settembre </w:t>
      </w:r>
      <w:r w:rsidRPr="00A104BA">
        <w:t>2018»;</w:t>
      </w:r>
    </w:p>
    <w:p w:rsidR="002256EB" w:rsidRPr="00A104BA" w:rsidRDefault="002256EB" w:rsidP="002256EB">
      <w:pPr>
        <w:spacing w:before="120" w:after="0" w:line="240" w:lineRule="auto"/>
        <w:jc w:val="both"/>
        <w:rPr>
          <w:rFonts w:eastAsia="Times New Roman"/>
        </w:rPr>
      </w:pPr>
      <w:r w:rsidRPr="00A104BA">
        <w:t>b)</w:t>
      </w:r>
      <w:r w:rsidRPr="00A104BA">
        <w:rPr>
          <w:rFonts w:eastAsia="Times New Roman"/>
        </w:rPr>
        <w:t xml:space="preserve"> dopo il comma 1, è inserito il seguente:</w:t>
      </w:r>
    </w:p>
    <w:p w:rsidR="002256EB" w:rsidRPr="00A104BA" w:rsidRDefault="002256EB" w:rsidP="002256EB">
      <w:pPr>
        <w:spacing w:before="120" w:after="0" w:line="240" w:lineRule="auto"/>
        <w:jc w:val="both"/>
        <w:rPr>
          <w:rFonts w:eastAsia="Times New Roman"/>
        </w:rPr>
      </w:pPr>
      <w:r w:rsidRPr="00A104BA">
        <w:rPr>
          <w:rFonts w:eastAsia="Times New Roman"/>
        </w:rPr>
        <w:t>«1.</w:t>
      </w:r>
      <w:r w:rsidRPr="00A104BA">
        <w:rPr>
          <w:rFonts w:eastAsia="Times New Roman"/>
          <w:i/>
        </w:rPr>
        <w:t>bis</w:t>
      </w:r>
      <w:r w:rsidRPr="00A104BA">
        <w:rPr>
          <w:rFonts w:eastAsia="Times New Roman"/>
        </w:rPr>
        <w:t>. A</w:t>
      </w:r>
      <w:r>
        <w:t xml:space="preserve">ll’articolo </w:t>
      </w:r>
      <w:r w:rsidRPr="00A104BA">
        <w:t>1</w:t>
      </w:r>
      <w:r>
        <w:t xml:space="preserve">, </w:t>
      </w:r>
      <w:r w:rsidRPr="00A104BA">
        <w:t>comma 10, della legge 11 dicembre 2016</w:t>
      </w:r>
      <w:r>
        <w:t>, n. 232</w:t>
      </w:r>
      <w:r w:rsidRPr="00A104BA">
        <w:t xml:space="preserve"> sostituire le parole “nel periodo indicato al comma 8,” con le seguenti: “entro il 31 d</w:t>
      </w:r>
      <w:r w:rsidR="005C42DB">
        <w:t>icembre 2017, ovvero entro il 30 settembre</w:t>
      </w:r>
      <w:r w:rsidRPr="00A104BA">
        <w:t xml:space="preserve"> 2018 a condizione che entro la data del 31 dicembre 2017 il relativo ordine risulti accettato dal venditore e sia avvenuto il pagamento di acconti in misura almeno pari al 20 per cento del costo di acquisizione,”.</w:t>
      </w:r>
      <w:r w:rsidRPr="00A104BA">
        <w:rPr>
          <w:rFonts w:eastAsia="Times New Roman"/>
        </w:rPr>
        <w:t>»;</w:t>
      </w:r>
    </w:p>
    <w:p w:rsidR="002256EB" w:rsidRPr="00A104BA" w:rsidRDefault="002256EB" w:rsidP="002256EB">
      <w:pPr>
        <w:spacing w:before="120" w:after="0" w:line="240" w:lineRule="auto"/>
        <w:jc w:val="both"/>
        <w:rPr>
          <w:rFonts w:eastAsia="Times New Roman"/>
        </w:rPr>
      </w:pPr>
      <w:r w:rsidRPr="00A104BA">
        <w:rPr>
          <w:rFonts w:eastAsia="Times New Roman"/>
        </w:rPr>
        <w:t>c) il comma 3 è sostituito dal seguente:</w:t>
      </w:r>
    </w:p>
    <w:p w:rsidR="002256EB" w:rsidRPr="00A104BA" w:rsidRDefault="002256EB" w:rsidP="002256EB">
      <w:pPr>
        <w:spacing w:before="120" w:after="0" w:line="240" w:lineRule="auto"/>
        <w:ind w:left="708"/>
        <w:jc w:val="both"/>
        <w:rPr>
          <w:rFonts w:eastAsia="Times New Roman"/>
        </w:rPr>
      </w:pPr>
      <w:r w:rsidRPr="00A104BA">
        <w:rPr>
          <w:rFonts w:eastAsia="Times New Roman"/>
        </w:rPr>
        <w:t xml:space="preserve">«3. </w:t>
      </w:r>
      <w:r w:rsidR="005C42DB" w:rsidRPr="00A104BA">
        <w:rPr>
          <w:rFonts w:eastAsia="Times New Roman"/>
        </w:rPr>
        <w:t xml:space="preserve">Ai maggiori oneri derivanti dal presente articolo, valutati in </w:t>
      </w:r>
      <w:r w:rsidR="005C42DB">
        <w:rPr>
          <w:rFonts w:eastAsia="Times New Roman"/>
        </w:rPr>
        <w:t>34,2</w:t>
      </w:r>
      <w:r w:rsidR="005C42DB" w:rsidRPr="00A104BA">
        <w:rPr>
          <w:rFonts w:eastAsia="Times New Roman"/>
        </w:rPr>
        <w:t xml:space="preserve"> milioni di euro per l'anno 2019, in </w:t>
      </w:r>
      <w:r w:rsidR="005C42DB">
        <w:rPr>
          <w:rFonts w:eastAsia="Times New Roman"/>
        </w:rPr>
        <w:t>52,2</w:t>
      </w:r>
      <w:r w:rsidR="005C42DB" w:rsidRPr="00A104BA">
        <w:rPr>
          <w:rFonts w:eastAsia="Times New Roman"/>
        </w:rPr>
        <w:t xml:space="preserve"> milioni di euro per l'anno 2020, </w:t>
      </w:r>
      <w:r w:rsidR="005C42DB">
        <w:rPr>
          <w:rFonts w:eastAsia="Times New Roman"/>
        </w:rPr>
        <w:t xml:space="preserve">in 38,8 milioni nel 2021, </w:t>
      </w:r>
      <w:r w:rsidR="005C42DB" w:rsidRPr="00A104BA">
        <w:rPr>
          <w:rFonts w:eastAsia="Times New Roman"/>
        </w:rPr>
        <w:t xml:space="preserve">in </w:t>
      </w:r>
      <w:r w:rsidR="005C42DB">
        <w:rPr>
          <w:rFonts w:eastAsia="Times New Roman"/>
        </w:rPr>
        <w:t>34</w:t>
      </w:r>
      <w:r w:rsidR="005C42DB" w:rsidRPr="00A104BA">
        <w:rPr>
          <w:rFonts w:eastAsia="Times New Roman"/>
        </w:rPr>
        <w:t xml:space="preserve"> milioni di euro per ciascuno degli anni dal 202</w:t>
      </w:r>
      <w:r w:rsidR="005C42DB">
        <w:rPr>
          <w:rFonts w:eastAsia="Times New Roman"/>
        </w:rPr>
        <w:t>2</w:t>
      </w:r>
      <w:r w:rsidR="005C42DB" w:rsidRPr="00A104BA">
        <w:rPr>
          <w:rFonts w:eastAsia="Times New Roman"/>
        </w:rPr>
        <w:t xml:space="preserve"> al 2023, e in </w:t>
      </w:r>
      <w:r w:rsidR="005C42DB">
        <w:rPr>
          <w:rFonts w:eastAsia="Times New Roman"/>
        </w:rPr>
        <w:t>8</w:t>
      </w:r>
      <w:r w:rsidR="005C42DB" w:rsidRPr="00A104BA">
        <w:rPr>
          <w:rFonts w:eastAsia="Times New Roman"/>
        </w:rPr>
        <w:t xml:space="preserve"> milioni di euro per l'anno 2024 e a 6 milioni di euro per l'anno 2025, si provvede</w:t>
      </w:r>
      <w:r w:rsidRPr="00A104BA">
        <w:rPr>
          <w:rFonts w:eastAsia="Times New Roman"/>
        </w:rPr>
        <w:t>:</w:t>
      </w:r>
    </w:p>
    <w:p w:rsidR="002256EB" w:rsidRPr="00A104BA" w:rsidRDefault="002256EB" w:rsidP="002256EB">
      <w:pPr>
        <w:spacing w:before="120" w:after="0" w:line="240" w:lineRule="auto"/>
        <w:ind w:left="708"/>
        <w:jc w:val="both"/>
        <w:rPr>
          <w:rFonts w:eastAsia="Times New Roman"/>
        </w:rPr>
      </w:pPr>
      <w:r w:rsidRPr="00A104BA">
        <w:rPr>
          <w:rFonts w:eastAsia="Times New Roman"/>
          <w:i/>
        </w:rPr>
        <w:t xml:space="preserve">a) </w:t>
      </w:r>
      <w:r w:rsidRPr="00A104BA">
        <w:rPr>
          <w:rFonts w:eastAsia="Times New Roman"/>
        </w:rPr>
        <w:t>quanto a 6 milioni di euro per ciascuno degli anni dal 2019 al 2024, mediante corrispondente riduzione delle proiezioni dello stanziamento del fondo speciale di parte corrente iscritto, ai fini del bilancio triennale 2017-2019, nell'ambito del programma «Fondi di riserva e speciali» della missione «Fondi da ripartire» dello stato di previsione del Ministero dell'economia e delle finanze per l'anno 2017, allo scopo parzialmente utilizzando l'accantonamento relativo al Ministero dell'economia e delle finanze per 4,820 milioni di euro per ciascuno degli anni dal 2019 al 2024, e l'accantonamento relativo al Ministero dello sviluppo economico per 1,180 milioni di euro per ciascuno degli anni dal 2019 al 2024;</w:t>
      </w:r>
    </w:p>
    <w:p w:rsidR="002256EB" w:rsidRPr="00A104BA" w:rsidRDefault="002256EB" w:rsidP="002256EB">
      <w:pPr>
        <w:spacing w:before="120" w:after="0" w:line="240" w:lineRule="auto"/>
        <w:ind w:left="708"/>
        <w:jc w:val="both"/>
        <w:rPr>
          <w:rFonts w:eastAsia="Times New Roman"/>
        </w:rPr>
      </w:pPr>
      <w:r w:rsidRPr="00A104BA">
        <w:rPr>
          <w:rFonts w:eastAsia="Times New Roman"/>
          <w:i/>
        </w:rPr>
        <w:t>b)</w:t>
      </w:r>
      <w:r w:rsidRPr="00A104BA">
        <w:rPr>
          <w:rFonts w:eastAsia="Times New Roman"/>
        </w:rPr>
        <w:t xml:space="preserve"> quanto a 8 milioni di euro per l'anno 2019, a 18 milioni di euro per l'anno 2020 e a 11 milioni di euro per ciascuno degli anni dal 2021 al 2023, mediante corrispondente riduzione del Fondo per interventi strutturali di politica economica, di cui all'articolo 10, comma 5 del decreto-legge 29 novembre 2004, n. 282, convertito, con modificazioni, dalla legge 27 dicembre 2004, n. 307;</w:t>
      </w:r>
    </w:p>
    <w:p w:rsidR="00076F03" w:rsidRDefault="002256EB" w:rsidP="00076F03">
      <w:pPr>
        <w:spacing w:before="120" w:after="0" w:line="240" w:lineRule="auto"/>
        <w:ind w:left="708"/>
        <w:jc w:val="both"/>
        <w:rPr>
          <w:rFonts w:eastAsia="Times New Roman"/>
        </w:rPr>
      </w:pPr>
      <w:r w:rsidRPr="00A104BA">
        <w:rPr>
          <w:rFonts w:eastAsia="Times New Roman"/>
          <w:i/>
        </w:rPr>
        <w:t>c)</w:t>
      </w:r>
      <w:r w:rsidRPr="00A104BA">
        <w:rPr>
          <w:rFonts w:eastAsia="Times New Roman"/>
        </w:rPr>
        <w:t xml:space="preserve"> quanto a 1 milione di euro per l'anno 2019, mediante corrispondente utilizzo del fondo di parte corrente iscritto nello stato di previsione del Ministero dello sviluppo economico ai sensi dell'articolo </w:t>
      </w:r>
      <w:hyperlink r:id="rId9" w:history="1">
        <w:r w:rsidRPr="00A104BA">
          <w:rPr>
            <w:rFonts w:eastAsia="Times New Roman"/>
          </w:rPr>
          <w:t>49, comma 2, lettere a) e b),</w:t>
        </w:r>
      </w:hyperlink>
      <w:r w:rsidRPr="00A104BA">
        <w:rPr>
          <w:rFonts w:eastAsia="Times New Roman"/>
        </w:rPr>
        <w:t xml:space="preserve"> del </w:t>
      </w:r>
      <w:hyperlink r:id="rId10" w:history="1">
        <w:r w:rsidRPr="00A104BA">
          <w:rPr>
            <w:rFonts w:eastAsia="Times New Roman"/>
          </w:rPr>
          <w:t>decreto-legge 24 aprile 2014, n. 66</w:t>
        </w:r>
      </w:hyperlink>
      <w:r w:rsidRPr="00A104BA">
        <w:rPr>
          <w:rFonts w:eastAsia="Times New Roman"/>
        </w:rPr>
        <w:t xml:space="preserve">, convertito, con modificazioni, dalla </w:t>
      </w:r>
      <w:hyperlink r:id="rId11" w:history="1">
        <w:r w:rsidRPr="00A104BA">
          <w:rPr>
            <w:rFonts w:eastAsia="Times New Roman"/>
          </w:rPr>
          <w:t>legge 23 giugno 2014, n. 89</w:t>
        </w:r>
      </w:hyperlink>
      <w:r w:rsidRPr="00A104BA">
        <w:rPr>
          <w:rFonts w:eastAsia="Times New Roman"/>
        </w:rPr>
        <w:t>;</w:t>
      </w:r>
    </w:p>
    <w:p w:rsidR="002256EB" w:rsidRPr="00A104BA" w:rsidRDefault="00076F03" w:rsidP="00076F03">
      <w:pPr>
        <w:spacing w:before="120" w:after="0" w:line="240" w:lineRule="auto"/>
        <w:ind w:left="708"/>
        <w:jc w:val="both"/>
        <w:rPr>
          <w:rFonts w:eastAsia="Times New Roman"/>
        </w:rPr>
      </w:pPr>
      <w:r>
        <w:rPr>
          <w:rFonts w:eastAsia="Times New Roman"/>
          <w:i/>
        </w:rPr>
        <w:t>d</w:t>
      </w:r>
      <w:r w:rsidR="002256EB" w:rsidRPr="00A104BA">
        <w:rPr>
          <w:rFonts w:eastAsia="Times New Roman"/>
          <w:i/>
        </w:rPr>
        <w:t>)</w:t>
      </w:r>
      <w:r w:rsidR="002256EB" w:rsidRPr="00A104BA">
        <w:rPr>
          <w:rFonts w:eastAsia="Times New Roman"/>
        </w:rPr>
        <w:t xml:space="preserve"> </w:t>
      </w:r>
      <w:r w:rsidR="005C42DB" w:rsidRPr="00A104BA">
        <w:rPr>
          <w:rFonts w:eastAsia="Times New Roman"/>
        </w:rPr>
        <w:t xml:space="preserve">quanto a </w:t>
      </w:r>
      <w:r w:rsidR="005C42DB">
        <w:rPr>
          <w:rFonts w:eastAsia="Times New Roman"/>
        </w:rPr>
        <w:t xml:space="preserve">19 </w:t>
      </w:r>
      <w:r w:rsidR="005C42DB" w:rsidRPr="00A104BA">
        <w:rPr>
          <w:rFonts w:eastAsia="Times New Roman"/>
        </w:rPr>
        <w:t xml:space="preserve">milioni di euro per l'anno 2019, </w:t>
      </w:r>
      <w:r w:rsidR="005C42DB">
        <w:rPr>
          <w:rFonts w:eastAsia="Times New Roman"/>
        </w:rPr>
        <w:t xml:space="preserve">a 28 milioni di euro per l’anno 2020, a 21,4 milioni di euro per l’anno 2021, a 17 milioni di euro per </w:t>
      </w:r>
      <w:r w:rsidR="005C42DB" w:rsidRPr="00A104BA">
        <w:rPr>
          <w:rFonts w:eastAsia="Times New Roman"/>
        </w:rPr>
        <w:t>ciascuno degli anni dal 20</w:t>
      </w:r>
      <w:r w:rsidR="005C42DB">
        <w:rPr>
          <w:rFonts w:eastAsia="Times New Roman"/>
        </w:rPr>
        <w:t>22</w:t>
      </w:r>
      <w:r w:rsidR="005C42DB" w:rsidRPr="00A104BA">
        <w:rPr>
          <w:rFonts w:eastAsia="Times New Roman"/>
        </w:rPr>
        <w:t xml:space="preserve"> al 2023,</w:t>
      </w:r>
      <w:r w:rsidR="005C42DB">
        <w:rPr>
          <w:rFonts w:eastAsia="Times New Roman"/>
        </w:rPr>
        <w:t xml:space="preserve"> e 2 milioni di euro per l’anno 2024 mediante riduzione nello stato di previsione del Ministero dell’Economia e delle Finanze, per la missione “politiche economico-finanziarie e di bilancio e di tutela della finanza pubblica”, programma “accertamento e riscossione delle entrate e gestione dei beni immobiliari</w:t>
      </w:r>
      <w:r w:rsidR="002256EB">
        <w:rPr>
          <w:rFonts w:eastAsia="Times New Roman"/>
        </w:rPr>
        <w:t>”;</w:t>
      </w:r>
    </w:p>
    <w:p w:rsidR="002256EB" w:rsidRPr="00A104BA" w:rsidRDefault="00076F03" w:rsidP="002256EB">
      <w:pPr>
        <w:pStyle w:val="Normale1"/>
        <w:pBdr>
          <w:top w:val="none" w:sz="96" w:space="5" w:color="FFFFFF" w:frame="1"/>
        </w:pBdr>
        <w:ind w:left="708"/>
        <w:rPr>
          <w:rFonts w:asciiTheme="minorHAnsi" w:eastAsia="Times New Roman" w:hAnsiTheme="minorHAnsi"/>
        </w:rPr>
      </w:pPr>
      <w:r>
        <w:rPr>
          <w:rFonts w:asciiTheme="minorHAnsi" w:eastAsia="Times New Roman" w:hAnsiTheme="minorHAnsi"/>
          <w:i/>
        </w:rPr>
        <w:t>e</w:t>
      </w:r>
      <w:r w:rsidR="002256EB" w:rsidRPr="00297486">
        <w:rPr>
          <w:rFonts w:asciiTheme="minorHAnsi" w:eastAsia="Times New Roman" w:hAnsiTheme="minorHAnsi"/>
          <w:i/>
        </w:rPr>
        <w:t xml:space="preserve">) </w:t>
      </w:r>
      <w:r w:rsidR="002256EB" w:rsidRPr="00297486">
        <w:rPr>
          <w:rFonts w:asciiTheme="minorHAnsi" w:eastAsia="Times New Roman" w:hAnsiTheme="minorHAnsi"/>
        </w:rPr>
        <w:t>quanto a 6 milioni di euro per l’anno 2025 mediante corrispondente utilizzo delle maggiori entrate derivanti dal comma 1 del presente articolo.».</w:t>
      </w:r>
    </w:p>
    <w:p w:rsidR="002256EB" w:rsidRPr="00A104BA" w:rsidRDefault="002256EB" w:rsidP="002256EB">
      <w:pPr>
        <w:pStyle w:val="Normale1"/>
        <w:pBdr>
          <w:top w:val="none" w:sz="96" w:space="5" w:color="FFFFFF" w:frame="1"/>
        </w:pBdr>
        <w:jc w:val="center"/>
        <w:rPr>
          <w:rFonts w:asciiTheme="minorHAnsi" w:hAnsiTheme="minorHAnsi"/>
          <w:b/>
          <w:u w:val="single"/>
        </w:rPr>
      </w:pPr>
      <w:r w:rsidRPr="00A104BA">
        <w:rPr>
          <w:rFonts w:asciiTheme="minorHAnsi" w:hAnsiTheme="minorHAnsi"/>
          <w:b/>
        </w:rPr>
        <w:t>Relazione illustrativa</w:t>
      </w:r>
    </w:p>
    <w:p w:rsidR="002256EB" w:rsidRPr="00A104BA" w:rsidRDefault="00076F03" w:rsidP="002256EB">
      <w:pPr>
        <w:pStyle w:val="Normale1"/>
        <w:pBdr>
          <w:top w:val="none" w:sz="96" w:space="5" w:color="FFFFFF" w:frame="1"/>
        </w:pBdr>
        <w:rPr>
          <w:rFonts w:asciiTheme="minorHAnsi" w:hAnsiTheme="minorHAnsi"/>
          <w:bdr w:val="nil"/>
        </w:rPr>
      </w:pPr>
      <w:r>
        <w:rPr>
          <w:rFonts w:asciiTheme="minorHAnsi" w:hAnsiTheme="minorHAnsi"/>
          <w:bdr w:val="nil"/>
        </w:rPr>
        <w:t xml:space="preserve">L’emendamento proroga al 30 settembre </w:t>
      </w:r>
      <w:r w:rsidR="002256EB" w:rsidRPr="00A104BA">
        <w:rPr>
          <w:rFonts w:asciiTheme="minorHAnsi" w:hAnsiTheme="minorHAnsi"/>
          <w:bdr w:val="nil"/>
        </w:rPr>
        <w:t xml:space="preserve">2018 il termine per la consegna dei beni (materiali ed immateriali) funzionali alla trasformazione tecnologica in chiave “Industria 4.0”, previsto dalla disciplina agevolativa del c.d. </w:t>
      </w:r>
      <w:proofErr w:type="spellStart"/>
      <w:r w:rsidR="002256EB" w:rsidRPr="00A104BA">
        <w:rPr>
          <w:rFonts w:asciiTheme="minorHAnsi" w:hAnsiTheme="minorHAnsi"/>
          <w:bdr w:val="nil"/>
        </w:rPr>
        <w:t>Iperammortamento</w:t>
      </w:r>
      <w:proofErr w:type="spellEnd"/>
      <w:r w:rsidR="002256EB" w:rsidRPr="00A104BA">
        <w:rPr>
          <w:rFonts w:asciiTheme="minorHAnsi" w:hAnsiTheme="minorHAnsi"/>
          <w:bdr w:val="nil"/>
        </w:rPr>
        <w:t xml:space="preserve">.  </w:t>
      </w:r>
    </w:p>
    <w:p w:rsidR="002256EB" w:rsidRPr="00A104BA" w:rsidRDefault="002256EB" w:rsidP="002256EB">
      <w:pPr>
        <w:pStyle w:val="Normale1"/>
        <w:pBdr>
          <w:top w:val="none" w:sz="96" w:space="5" w:color="FFFFFF" w:frame="1"/>
        </w:pBdr>
        <w:rPr>
          <w:rFonts w:asciiTheme="minorHAnsi" w:hAnsiTheme="minorHAnsi"/>
          <w:bdr w:val="nil"/>
        </w:rPr>
      </w:pPr>
      <w:r w:rsidRPr="00A104BA">
        <w:rPr>
          <w:rFonts w:asciiTheme="minorHAnsi" w:hAnsiTheme="minorHAnsi"/>
          <w:bdr w:val="nil"/>
        </w:rPr>
        <w:t xml:space="preserve">L’emendamento trova la sua giustificazione nella complessità di tali investimenti che necessitano di termini ampi per la loro realizzazione. </w:t>
      </w:r>
    </w:p>
    <w:p w:rsidR="002256EB" w:rsidRPr="00A104BA" w:rsidRDefault="002256EB" w:rsidP="002256EB">
      <w:pPr>
        <w:pStyle w:val="Normale1"/>
        <w:pBdr>
          <w:top w:val="none" w:sz="96" w:space="5" w:color="FFFFFF" w:frame="1"/>
        </w:pBdr>
        <w:rPr>
          <w:rFonts w:asciiTheme="minorHAnsi" w:hAnsiTheme="minorHAnsi"/>
          <w:bdr w:val="nil"/>
        </w:rPr>
      </w:pPr>
      <w:r w:rsidRPr="00A104BA">
        <w:rPr>
          <w:rFonts w:asciiTheme="minorHAnsi" w:hAnsiTheme="minorHAnsi"/>
          <w:bdr w:val="nil"/>
        </w:rPr>
        <w:t xml:space="preserve">Tale modifica appare, altresì, opportuna per consolidare, anche nei prossimi mesi, l’andamento positivo degli investimenti e soprattutto evitare effetti di spiazzamento delle imprese italiane produttrici di macchinari, che già ora sono in “overbooking” e stanno rifiutando ordini, poiché non sono in grado di consegnare i beni entro il 30 luglio 2018. </w:t>
      </w:r>
    </w:p>
    <w:p w:rsidR="002256EB" w:rsidRPr="00A104BA" w:rsidRDefault="002256EB" w:rsidP="002256EB">
      <w:pPr>
        <w:pStyle w:val="Normale1"/>
        <w:pBdr>
          <w:top w:val="none" w:sz="96" w:space="5" w:color="FFFFFF" w:frame="1"/>
        </w:pBdr>
        <w:rPr>
          <w:rFonts w:asciiTheme="minorHAnsi" w:hAnsiTheme="minorHAnsi"/>
          <w:bdr w:val="nil"/>
        </w:rPr>
      </w:pPr>
      <w:r w:rsidRPr="00A104BA">
        <w:rPr>
          <w:rFonts w:asciiTheme="minorHAnsi" w:hAnsiTheme="minorHAnsi"/>
          <w:bdr w:val="nil"/>
        </w:rPr>
        <w:t>La mancata proroga dei tempi di consegna rischia sia di rallentare la ripresa degli investimenti innovativi, necessari per accrescere la competitività delle imprese italiane, sia di favorire le imprese produttrici estere che sarebbero invece in grado di produrre e consegnare i beni in tempo utile.</w:t>
      </w:r>
    </w:p>
    <w:p w:rsidR="002256EB" w:rsidRPr="00A104BA" w:rsidRDefault="002256EB" w:rsidP="002256EB">
      <w:pPr>
        <w:pStyle w:val="Normale1"/>
        <w:pBdr>
          <w:top w:val="none" w:sz="96" w:space="5" w:color="FFFFFF" w:frame="1"/>
        </w:pBdr>
        <w:rPr>
          <w:rFonts w:asciiTheme="minorHAnsi" w:hAnsiTheme="minorHAnsi"/>
          <w:bdr w:val="nil"/>
        </w:rPr>
      </w:pPr>
      <w:r w:rsidRPr="00A104BA">
        <w:rPr>
          <w:rFonts w:asciiTheme="minorHAnsi" w:hAnsiTheme="minorHAnsi"/>
          <w:bdr w:val="nil"/>
        </w:rPr>
        <w:t xml:space="preserve">Nel dettaglio, la lettera a) della proposta emendativa </w:t>
      </w:r>
      <w:r w:rsidR="00076F03">
        <w:rPr>
          <w:rFonts w:asciiTheme="minorHAnsi" w:hAnsiTheme="minorHAnsi"/>
          <w:bdr w:val="nil"/>
        </w:rPr>
        <w:t>estende dal 31 luglio 2018 al 30 settembre</w:t>
      </w:r>
      <w:r w:rsidRPr="00A104BA">
        <w:rPr>
          <w:rFonts w:asciiTheme="minorHAnsi" w:hAnsiTheme="minorHAnsi"/>
          <w:bdr w:val="nil"/>
        </w:rPr>
        <w:t xml:space="preserve"> 2018 i termini della proroga disposta dall’articolo 14 del decreto-legge solo con riguardo agli investimenti in beni materiali inclusi dall’allegato A) alla Legge di Bilancio 2017.</w:t>
      </w:r>
    </w:p>
    <w:p w:rsidR="002256EB" w:rsidRPr="00A104BA" w:rsidRDefault="002256EB" w:rsidP="002256EB">
      <w:pPr>
        <w:pStyle w:val="Normale1"/>
        <w:pBdr>
          <w:top w:val="none" w:sz="96" w:space="5" w:color="FFFFFF" w:frame="1"/>
        </w:pBdr>
        <w:rPr>
          <w:rFonts w:asciiTheme="minorHAnsi" w:hAnsiTheme="minorHAnsi"/>
          <w:bdr w:val="nil"/>
        </w:rPr>
      </w:pPr>
      <w:r w:rsidRPr="00A104BA">
        <w:rPr>
          <w:rFonts w:asciiTheme="minorHAnsi" w:hAnsiTheme="minorHAnsi"/>
          <w:bdr w:val="nil"/>
        </w:rPr>
        <w:t xml:space="preserve">La lettera b), dell’emendamento, coerentemente con la finalità di favorire tutti i processi aziendali connessi a Industria 4.0, estende tale proroga anche agli investimenti in beni immateriali (software, sistemi e system </w:t>
      </w:r>
      <w:proofErr w:type="spellStart"/>
      <w:r w:rsidRPr="00A104BA">
        <w:rPr>
          <w:rFonts w:asciiTheme="minorHAnsi" w:hAnsiTheme="minorHAnsi"/>
          <w:bdr w:val="nil"/>
        </w:rPr>
        <w:t>integration</w:t>
      </w:r>
      <w:proofErr w:type="spellEnd"/>
      <w:r w:rsidRPr="00A104BA">
        <w:rPr>
          <w:rFonts w:asciiTheme="minorHAnsi" w:hAnsiTheme="minorHAnsi"/>
          <w:bdr w:val="nil"/>
        </w:rPr>
        <w:t>, piattaforme ed applicazioni) inclusi nell’allegato B) alla Legge di Bilancio 2017.</w:t>
      </w:r>
    </w:p>
    <w:p w:rsidR="002C2A5C" w:rsidRDefault="002C2A5C" w:rsidP="00076F03">
      <w:pPr>
        <w:pStyle w:val="Normale1"/>
        <w:pBdr>
          <w:top w:val="none" w:sz="96" w:space="5" w:color="FFFFFF" w:frame="1"/>
        </w:pBdr>
        <w:jc w:val="center"/>
        <w:rPr>
          <w:rFonts w:asciiTheme="minorHAnsi" w:hAnsiTheme="minorHAnsi"/>
          <w:b/>
          <w:bdr w:val="nil"/>
        </w:rPr>
      </w:pPr>
    </w:p>
    <w:p w:rsidR="00076F03" w:rsidRPr="00076F03" w:rsidRDefault="00076F03" w:rsidP="00076F03">
      <w:pPr>
        <w:pStyle w:val="Normale1"/>
        <w:pBdr>
          <w:top w:val="none" w:sz="96" w:space="5" w:color="FFFFFF" w:frame="1"/>
        </w:pBdr>
        <w:jc w:val="center"/>
        <w:rPr>
          <w:rFonts w:asciiTheme="minorHAnsi" w:hAnsiTheme="minorHAnsi"/>
          <w:b/>
          <w:bdr w:val="nil"/>
        </w:rPr>
      </w:pPr>
      <w:r w:rsidRPr="00076F03">
        <w:rPr>
          <w:rFonts w:asciiTheme="minorHAnsi" w:hAnsiTheme="minorHAnsi"/>
          <w:b/>
          <w:bdr w:val="nil"/>
        </w:rPr>
        <w:t>Copertura finanziaria</w:t>
      </w:r>
    </w:p>
    <w:p w:rsidR="00076F03" w:rsidRDefault="00076F03" w:rsidP="002256EB">
      <w:pPr>
        <w:pStyle w:val="Normale1"/>
        <w:pBdr>
          <w:top w:val="none" w:sz="96" w:space="5" w:color="FFFFFF" w:frame="1"/>
        </w:pBdr>
        <w:rPr>
          <w:rFonts w:eastAsia="Times New Roman"/>
        </w:rPr>
      </w:pPr>
      <w:r w:rsidRPr="00A104BA">
        <w:rPr>
          <w:rFonts w:asciiTheme="minorHAnsi" w:hAnsiTheme="minorHAnsi"/>
        </w:rPr>
        <w:t xml:space="preserve">La proposta emendativa comporta effetti finanziari </w:t>
      </w:r>
      <w:r w:rsidRPr="00A104BA">
        <w:rPr>
          <w:rFonts w:eastAsia="Times New Roman"/>
        </w:rPr>
        <w:t xml:space="preserve">valutati in </w:t>
      </w:r>
      <w:r>
        <w:rPr>
          <w:rFonts w:eastAsia="Times New Roman"/>
        </w:rPr>
        <w:t>34,2</w:t>
      </w:r>
      <w:r w:rsidRPr="00A104BA">
        <w:rPr>
          <w:rFonts w:eastAsia="Times New Roman"/>
        </w:rPr>
        <w:t xml:space="preserve"> milioni di euro per l'anno 2019, in </w:t>
      </w:r>
      <w:r>
        <w:rPr>
          <w:rFonts w:eastAsia="Times New Roman"/>
        </w:rPr>
        <w:t>52,2</w:t>
      </w:r>
      <w:r w:rsidRPr="00A104BA">
        <w:rPr>
          <w:rFonts w:eastAsia="Times New Roman"/>
        </w:rPr>
        <w:t xml:space="preserve"> milioni di euro per l'anno 2020, </w:t>
      </w:r>
      <w:r>
        <w:rPr>
          <w:rFonts w:eastAsia="Times New Roman"/>
        </w:rPr>
        <w:t xml:space="preserve">in 38,8 milioni nel 2021, </w:t>
      </w:r>
      <w:r w:rsidRPr="00A104BA">
        <w:rPr>
          <w:rFonts w:eastAsia="Times New Roman"/>
        </w:rPr>
        <w:t xml:space="preserve">in </w:t>
      </w:r>
      <w:r>
        <w:rPr>
          <w:rFonts w:eastAsia="Times New Roman"/>
        </w:rPr>
        <w:t>34</w:t>
      </w:r>
      <w:r w:rsidRPr="00A104BA">
        <w:rPr>
          <w:rFonts w:eastAsia="Times New Roman"/>
        </w:rPr>
        <w:t xml:space="preserve"> milioni di euro per ciascuno degli anni dal 202</w:t>
      </w:r>
      <w:r>
        <w:rPr>
          <w:rFonts w:eastAsia="Times New Roman"/>
        </w:rPr>
        <w:t>2</w:t>
      </w:r>
      <w:r w:rsidRPr="00A104BA">
        <w:rPr>
          <w:rFonts w:eastAsia="Times New Roman"/>
        </w:rPr>
        <w:t xml:space="preserve"> al 2023, e in </w:t>
      </w:r>
      <w:r>
        <w:rPr>
          <w:rFonts w:eastAsia="Times New Roman"/>
        </w:rPr>
        <w:t>8</w:t>
      </w:r>
      <w:r w:rsidRPr="00A104BA">
        <w:rPr>
          <w:rFonts w:eastAsia="Times New Roman"/>
        </w:rPr>
        <w:t xml:space="preserve"> milioni di euro per l'anno 2024 e a 6 </w:t>
      </w:r>
      <w:r>
        <w:rPr>
          <w:rFonts w:eastAsia="Times New Roman"/>
        </w:rPr>
        <w:t>milioni di euro per l'anno 2025, cui si p</w:t>
      </w:r>
      <w:r w:rsidR="00C00EB2">
        <w:rPr>
          <w:rFonts w:eastAsia="Times New Roman"/>
        </w:rPr>
        <w:t xml:space="preserve">rovvede mediante corrispondente </w:t>
      </w:r>
      <w:r>
        <w:rPr>
          <w:rFonts w:eastAsia="Times New Roman"/>
        </w:rPr>
        <w:t>riduzione:</w:t>
      </w:r>
    </w:p>
    <w:p w:rsidR="00C00EB2" w:rsidRDefault="00076F03" w:rsidP="00C00EB2">
      <w:pPr>
        <w:pStyle w:val="Normale1"/>
        <w:numPr>
          <w:ilvl w:val="0"/>
          <w:numId w:val="7"/>
        </w:numPr>
        <w:pBdr>
          <w:top w:val="none" w:sz="96" w:space="5" w:color="FFFFFF" w:frame="1"/>
        </w:pBdr>
        <w:rPr>
          <w:rFonts w:eastAsia="Times New Roman"/>
        </w:rPr>
      </w:pPr>
      <w:r>
        <w:rPr>
          <w:rFonts w:eastAsia="Times New Roman"/>
        </w:rPr>
        <w:t>delle</w:t>
      </w:r>
      <w:r w:rsidRPr="00A104BA">
        <w:rPr>
          <w:rFonts w:eastAsia="Times New Roman"/>
        </w:rPr>
        <w:t xml:space="preserve"> proiezioni dello stanziamento del fondo speci</w:t>
      </w:r>
      <w:r w:rsidR="002C2A5C">
        <w:rPr>
          <w:rFonts w:eastAsia="Times New Roman"/>
        </w:rPr>
        <w:t xml:space="preserve">ale di parte corrente iscritto </w:t>
      </w:r>
      <w:r w:rsidRPr="00A104BA">
        <w:rPr>
          <w:rFonts w:eastAsia="Times New Roman"/>
        </w:rPr>
        <w:t>nell'ambito del programma «Fondi di riserva e speciali» della missione «Fondi da ripartire» dello stato di previsione del Ministero dell'economia e delle finanze per l'anno 2017</w:t>
      </w:r>
      <w:r>
        <w:rPr>
          <w:rFonts w:eastAsia="Times New Roman"/>
        </w:rPr>
        <w:t>;</w:t>
      </w:r>
    </w:p>
    <w:p w:rsidR="00C00EB2" w:rsidRDefault="00076F03" w:rsidP="00C00EB2">
      <w:pPr>
        <w:pStyle w:val="Normale1"/>
        <w:numPr>
          <w:ilvl w:val="0"/>
          <w:numId w:val="7"/>
        </w:numPr>
        <w:pBdr>
          <w:top w:val="none" w:sz="96" w:space="5" w:color="FFFFFF" w:frame="1"/>
        </w:pBdr>
        <w:rPr>
          <w:rFonts w:eastAsia="Times New Roman"/>
        </w:rPr>
      </w:pPr>
      <w:r w:rsidRPr="00C00EB2">
        <w:rPr>
          <w:rFonts w:eastAsia="Times New Roman"/>
        </w:rPr>
        <w:t>del Fondo per interventi strutturali di politica economica</w:t>
      </w:r>
      <w:r w:rsidR="002C2A5C" w:rsidRPr="00C00EB2">
        <w:rPr>
          <w:rFonts w:eastAsia="Times New Roman"/>
        </w:rPr>
        <w:t>;</w:t>
      </w:r>
    </w:p>
    <w:p w:rsidR="00C00EB2" w:rsidRDefault="002C2A5C" w:rsidP="00C00EB2">
      <w:pPr>
        <w:pStyle w:val="Normale1"/>
        <w:numPr>
          <w:ilvl w:val="0"/>
          <w:numId w:val="7"/>
        </w:numPr>
        <w:pBdr>
          <w:top w:val="none" w:sz="96" w:space="5" w:color="FFFFFF" w:frame="1"/>
        </w:pBdr>
        <w:rPr>
          <w:rFonts w:eastAsia="Times New Roman"/>
        </w:rPr>
      </w:pPr>
      <w:r w:rsidRPr="00C00EB2">
        <w:rPr>
          <w:rFonts w:eastAsia="Times New Roman"/>
        </w:rPr>
        <w:t xml:space="preserve">del </w:t>
      </w:r>
      <w:r w:rsidR="00076F03" w:rsidRPr="00C00EB2">
        <w:rPr>
          <w:rFonts w:eastAsia="Times New Roman"/>
        </w:rPr>
        <w:t>fondo di parte corrente iscritto nello stato di previsione del Ministero dello sviluppo economico</w:t>
      </w:r>
      <w:r w:rsidRPr="00C00EB2">
        <w:rPr>
          <w:rFonts w:eastAsia="Times New Roman"/>
        </w:rPr>
        <w:t>;</w:t>
      </w:r>
      <w:bookmarkStart w:id="0" w:name="_GoBack"/>
      <w:bookmarkEnd w:id="0"/>
    </w:p>
    <w:p w:rsidR="00076F03" w:rsidRPr="00C00EB2" w:rsidRDefault="002C2A5C" w:rsidP="00C00EB2">
      <w:pPr>
        <w:pStyle w:val="Normale1"/>
        <w:numPr>
          <w:ilvl w:val="0"/>
          <w:numId w:val="7"/>
        </w:numPr>
        <w:pBdr>
          <w:top w:val="none" w:sz="96" w:space="5" w:color="FFFFFF" w:frame="1"/>
        </w:pBdr>
        <w:rPr>
          <w:rFonts w:eastAsia="Times New Roman"/>
        </w:rPr>
      </w:pPr>
      <w:r w:rsidRPr="00C00EB2">
        <w:rPr>
          <w:rFonts w:eastAsia="Times New Roman"/>
        </w:rPr>
        <w:t xml:space="preserve">dello stanziamento nello stato di previsione </w:t>
      </w:r>
      <w:r w:rsidR="00076F03" w:rsidRPr="00C00EB2">
        <w:rPr>
          <w:rFonts w:eastAsia="Times New Roman"/>
        </w:rPr>
        <w:t>del Ministero dell’Economia e del</w:t>
      </w:r>
      <w:r w:rsidRPr="00C00EB2">
        <w:rPr>
          <w:rFonts w:eastAsia="Times New Roman"/>
        </w:rPr>
        <w:t xml:space="preserve">le Finanze </w:t>
      </w:r>
      <w:r w:rsidR="00076F03" w:rsidRPr="00C00EB2">
        <w:rPr>
          <w:rFonts w:eastAsia="Times New Roman"/>
        </w:rPr>
        <w:t>per la missione “politiche economico-finanziarie e di bilancio e di tutela della finanza pubblica”, programma “accertamento e riscossione delle entrate e gestione dei beni immobiliari</w:t>
      </w:r>
      <w:r w:rsidRPr="00C00EB2">
        <w:rPr>
          <w:rFonts w:eastAsia="Times New Roman"/>
        </w:rPr>
        <w:t>.</w:t>
      </w:r>
    </w:p>
    <w:p w:rsidR="002C2A5C" w:rsidRDefault="002C2A5C" w:rsidP="002256EB">
      <w:pPr>
        <w:pStyle w:val="Normale1"/>
        <w:pBdr>
          <w:top w:val="none" w:sz="96" w:space="5" w:color="FFFFFF" w:frame="1"/>
        </w:pBdr>
        <w:rPr>
          <w:rFonts w:asciiTheme="minorHAnsi" w:hAnsiTheme="minorHAnsi"/>
        </w:rPr>
      </w:pPr>
      <w:r>
        <w:rPr>
          <w:rFonts w:eastAsia="Times New Roman"/>
        </w:rPr>
        <w:t xml:space="preserve">Infine, </w:t>
      </w:r>
      <w:r w:rsidRPr="00297486">
        <w:rPr>
          <w:rFonts w:asciiTheme="minorHAnsi" w:eastAsia="Times New Roman" w:hAnsiTheme="minorHAnsi"/>
        </w:rPr>
        <w:t>quanto a 6 milioni di euro per l’anno 2025</w:t>
      </w:r>
      <w:r>
        <w:rPr>
          <w:rFonts w:asciiTheme="minorHAnsi" w:eastAsia="Times New Roman" w:hAnsiTheme="minorHAnsi"/>
        </w:rPr>
        <w:t>, si provvede</w:t>
      </w:r>
      <w:r w:rsidRPr="00297486">
        <w:rPr>
          <w:rFonts w:asciiTheme="minorHAnsi" w:eastAsia="Times New Roman" w:hAnsiTheme="minorHAnsi"/>
        </w:rPr>
        <w:t xml:space="preserve"> mediante corrispondente utilizzo delle maggiori en</w:t>
      </w:r>
      <w:r>
        <w:rPr>
          <w:rFonts w:asciiTheme="minorHAnsi" w:eastAsia="Times New Roman" w:hAnsiTheme="minorHAnsi"/>
        </w:rPr>
        <w:t>trate derivanti dal comma 1 della norma in esame.</w:t>
      </w:r>
    </w:p>
    <w:p w:rsidR="002256EB" w:rsidRDefault="002256EB">
      <w:pPr>
        <w:rPr>
          <w:rFonts w:eastAsia="Calibri" w:cs="Calibri"/>
          <w:color w:val="000000"/>
          <w:u w:color="000000"/>
          <w:bdr w:val="nil"/>
          <w:lang w:eastAsia="it-IT"/>
        </w:rPr>
      </w:pPr>
      <w:r>
        <w:rPr>
          <w:bdr w:val="nil"/>
        </w:rPr>
        <w:br w:type="page"/>
      </w:r>
    </w:p>
    <w:p w:rsidR="004159FC" w:rsidRDefault="004159FC" w:rsidP="004159FC">
      <w:pPr>
        <w:spacing w:before="120" w:after="0" w:line="480" w:lineRule="auto"/>
        <w:jc w:val="right"/>
        <w:rPr>
          <w:b/>
          <w:color w:val="FF0000"/>
        </w:rPr>
      </w:pPr>
      <w:r w:rsidRPr="004159FC">
        <w:rPr>
          <w:b/>
          <w:color w:val="FF0000"/>
        </w:rPr>
        <w:t>Z</w:t>
      </w:r>
      <w:r>
        <w:rPr>
          <w:b/>
          <w:color w:val="FF0000"/>
        </w:rPr>
        <w:t>ONE ECONOMICHE SPECIALI</w:t>
      </w:r>
    </w:p>
    <w:p w:rsidR="004159FC" w:rsidRPr="004159FC" w:rsidRDefault="004159FC" w:rsidP="004159FC">
      <w:pPr>
        <w:spacing w:before="120" w:after="0" w:line="240" w:lineRule="auto"/>
        <w:jc w:val="center"/>
        <w:rPr>
          <w:b/>
        </w:rPr>
      </w:pPr>
    </w:p>
    <w:p w:rsidR="00766147" w:rsidRPr="00A104BA" w:rsidRDefault="004159FC" w:rsidP="004159FC">
      <w:pPr>
        <w:spacing w:before="120" w:after="0" w:line="240" w:lineRule="auto"/>
        <w:jc w:val="center"/>
        <w:rPr>
          <w:b/>
        </w:rPr>
      </w:pPr>
      <w:r>
        <w:rPr>
          <w:b/>
        </w:rPr>
        <w:t>D</w:t>
      </w:r>
      <w:r w:rsidR="00766147" w:rsidRPr="00A104BA">
        <w:rPr>
          <w:b/>
        </w:rPr>
        <w:t>DL recante “Conversione in legge del decreto-legge 20 giugno 2017, n. 91, recante disposizioni urgenti per la crescita economica nel Mezzogiorno”</w:t>
      </w:r>
    </w:p>
    <w:p w:rsidR="00766147" w:rsidRPr="00A104BA" w:rsidRDefault="00766147" w:rsidP="00766147">
      <w:pPr>
        <w:spacing w:before="120" w:after="0" w:line="240" w:lineRule="auto"/>
        <w:jc w:val="center"/>
        <w:rPr>
          <w:b/>
        </w:rPr>
      </w:pPr>
      <w:r w:rsidRPr="00A104BA">
        <w:rPr>
          <w:b/>
        </w:rPr>
        <w:t>(AS 2860)</w:t>
      </w:r>
    </w:p>
    <w:p w:rsidR="00766147" w:rsidRPr="00A104BA" w:rsidRDefault="00766147" w:rsidP="00766147">
      <w:pPr>
        <w:spacing w:before="120" w:after="0" w:line="240" w:lineRule="auto"/>
        <w:jc w:val="both"/>
        <w:rPr>
          <w:b/>
          <w:bCs/>
          <w:smallCaps/>
        </w:rPr>
      </w:pPr>
      <w:r w:rsidRPr="00A104BA">
        <w:rPr>
          <w:b/>
          <w:bCs/>
          <w:smallCaps/>
        </w:rPr>
        <w:t xml:space="preserve">Emendamento </w:t>
      </w:r>
    </w:p>
    <w:p w:rsidR="00766147" w:rsidRPr="00A104BA" w:rsidRDefault="00766147" w:rsidP="00766147">
      <w:pPr>
        <w:spacing w:before="120" w:after="0" w:line="240" w:lineRule="auto"/>
        <w:jc w:val="both"/>
      </w:pPr>
      <w:r w:rsidRPr="00A104BA">
        <w:t>All’articolo 4 apportare le seguenti modificazioni:</w:t>
      </w:r>
    </w:p>
    <w:p w:rsidR="00766147" w:rsidRPr="00A104BA" w:rsidRDefault="00766147" w:rsidP="00766147">
      <w:pPr>
        <w:pStyle w:val="Paragrafoelenco"/>
        <w:numPr>
          <w:ilvl w:val="0"/>
          <w:numId w:val="2"/>
        </w:numPr>
        <w:spacing w:before="120" w:after="0" w:line="240" w:lineRule="auto"/>
        <w:ind w:left="357" w:hanging="357"/>
        <w:contextualSpacing w:val="0"/>
        <w:jc w:val="both"/>
        <w:rPr>
          <w:rFonts w:asciiTheme="minorHAnsi" w:hAnsiTheme="minorHAnsi"/>
        </w:rPr>
      </w:pPr>
      <w:r w:rsidRPr="00A104BA">
        <w:rPr>
          <w:rFonts w:asciiTheme="minorHAnsi" w:hAnsiTheme="minorHAnsi"/>
        </w:rPr>
        <w:t>al comma 2, il primo periodo è sostituito dal seguente: «</w:t>
      </w:r>
      <w:r w:rsidR="00CB47C8" w:rsidRPr="00CB47C8">
        <w:rPr>
          <w:rFonts w:asciiTheme="minorHAnsi" w:hAnsiTheme="minorHAnsi"/>
        </w:rPr>
        <w:t xml:space="preserve">Per ZES si intende una zona in ritardo di sviluppo o non ancora in grado di sfruttare pienamente le proprie potenzialità di sviluppo, situata entro i confini dello Stato, geograficamente delimitata e chiaramente identificata in un’area specifica, anche di livello sub-comunale, o che può essere costituita dall’aggregazione di aree territorialmente adiacenti o anche non adiacenti, purché presentino evidenti nessi economico funzionali e infrastrutturali statisticamente misurati e fisicamente rilevati, comprendente o facente riferimento ad almeno un’infrastruttura di trasporto marittimo dotata delle caratteristiche stabilite dal regolamento (UE) n. 1315 dell’11 dicembre 2013 del Parlamento europeo e del Consiglio  sugli orientamenti dell’Unione per lo sviluppo della rete </w:t>
      </w:r>
      <w:proofErr w:type="spellStart"/>
      <w:r w:rsidR="00CB47C8" w:rsidRPr="00CB47C8">
        <w:rPr>
          <w:rFonts w:asciiTheme="minorHAnsi" w:hAnsiTheme="minorHAnsi"/>
        </w:rPr>
        <w:t>transeuropea</w:t>
      </w:r>
      <w:proofErr w:type="spellEnd"/>
      <w:r w:rsidR="00CB47C8" w:rsidRPr="00CB47C8">
        <w:rPr>
          <w:rFonts w:asciiTheme="minorHAnsi" w:hAnsiTheme="minorHAnsi"/>
        </w:rPr>
        <w:t xml:space="preserve"> dei trasporti (TEN-T) e inserita nell’elenco dei nodi dei porti marittimi delle reti centrale e globale di cui all’Allegato II, parte seconda, del suddetto Regolamento</w:t>
      </w:r>
      <w:r w:rsidR="00CB47C8" w:rsidRPr="00CB47C8">
        <w:rPr>
          <w:rFonts w:asciiTheme="minorHAnsi" w:hAnsiTheme="minorHAnsi"/>
          <w:b/>
          <w:i/>
        </w:rPr>
        <w:t>.</w:t>
      </w:r>
      <w:r w:rsidR="00CB47C8" w:rsidRPr="00CB47C8">
        <w:rPr>
          <w:rFonts w:asciiTheme="minorHAnsi" w:hAnsiTheme="minorHAnsi"/>
        </w:rPr>
        <w:t>”;</w:t>
      </w:r>
      <w:r w:rsidRPr="00A104BA">
        <w:rPr>
          <w:rFonts w:asciiTheme="minorHAnsi" w:hAnsiTheme="minorHAnsi"/>
        </w:rPr>
        <w:t>»;</w:t>
      </w:r>
    </w:p>
    <w:p w:rsidR="00766147" w:rsidRPr="00A104BA" w:rsidRDefault="00766147" w:rsidP="00766147">
      <w:pPr>
        <w:pStyle w:val="Paragrafoelenco"/>
        <w:numPr>
          <w:ilvl w:val="0"/>
          <w:numId w:val="2"/>
        </w:numPr>
        <w:spacing w:before="120" w:after="0" w:line="240" w:lineRule="auto"/>
        <w:ind w:left="357" w:hanging="357"/>
        <w:contextualSpacing w:val="0"/>
        <w:jc w:val="both"/>
        <w:rPr>
          <w:rFonts w:asciiTheme="minorHAnsi" w:hAnsiTheme="minorHAnsi"/>
        </w:rPr>
      </w:pPr>
      <w:r w:rsidRPr="00A104BA">
        <w:rPr>
          <w:rFonts w:asciiTheme="minorHAnsi" w:hAnsiTheme="minorHAnsi"/>
        </w:rPr>
        <w:t xml:space="preserve">al comma 3, </w:t>
      </w:r>
      <w:r w:rsidR="0011332B">
        <w:rPr>
          <w:rFonts w:asciiTheme="minorHAnsi" w:hAnsiTheme="minorHAnsi"/>
        </w:rPr>
        <w:t xml:space="preserve">primo periodo, </w:t>
      </w:r>
      <w:r w:rsidRPr="00A104BA">
        <w:rPr>
          <w:rFonts w:asciiTheme="minorHAnsi" w:hAnsiTheme="minorHAnsi"/>
        </w:rPr>
        <w:t xml:space="preserve">dopo </w:t>
      </w:r>
      <w:r w:rsidR="000C478B" w:rsidRPr="00A104BA">
        <w:rPr>
          <w:rFonts w:asciiTheme="minorHAnsi" w:hAnsiTheme="minorHAnsi"/>
        </w:rPr>
        <w:t>le parole «</w:t>
      </w:r>
      <w:r w:rsidRPr="00A104BA">
        <w:rPr>
          <w:rFonts w:asciiTheme="minorHAnsi" w:hAnsiTheme="minorHAnsi"/>
        </w:rPr>
        <w:t>i relativi criteri che</w:t>
      </w:r>
      <w:r w:rsidR="000C478B" w:rsidRPr="00A104BA">
        <w:rPr>
          <w:rFonts w:asciiTheme="minorHAnsi" w:hAnsiTheme="minorHAnsi"/>
        </w:rPr>
        <w:t>»</w:t>
      </w:r>
      <w:r w:rsidRPr="00A104BA">
        <w:rPr>
          <w:rFonts w:asciiTheme="minorHAnsi" w:hAnsiTheme="minorHAnsi"/>
        </w:rPr>
        <w:t xml:space="preserve"> </w:t>
      </w:r>
      <w:r w:rsidR="000C478B" w:rsidRPr="00A104BA">
        <w:rPr>
          <w:rFonts w:asciiTheme="minorHAnsi" w:hAnsiTheme="minorHAnsi"/>
        </w:rPr>
        <w:t>sono inserite le seguenti: «</w:t>
      </w:r>
      <w:r w:rsidRPr="00A104BA">
        <w:rPr>
          <w:rFonts w:asciiTheme="minorHAnsi" w:hAnsiTheme="minorHAnsi"/>
        </w:rPr>
        <w:t>ne delimitano e ne identificano l’estensione, ai sensi del precedente comma 2, e</w:t>
      </w:r>
      <w:r w:rsidR="000C478B" w:rsidRPr="00A104BA">
        <w:rPr>
          <w:rFonts w:asciiTheme="minorHAnsi" w:hAnsiTheme="minorHAnsi"/>
        </w:rPr>
        <w:t>»</w:t>
      </w:r>
      <w:r w:rsidRPr="00A104BA">
        <w:rPr>
          <w:rFonts w:asciiTheme="minorHAnsi" w:hAnsiTheme="minorHAnsi"/>
        </w:rPr>
        <w:t>;</w:t>
      </w:r>
    </w:p>
    <w:p w:rsidR="00766147" w:rsidRPr="00A104BA" w:rsidRDefault="000C478B" w:rsidP="00766147">
      <w:pPr>
        <w:pStyle w:val="Paragrafoelenco"/>
        <w:numPr>
          <w:ilvl w:val="0"/>
          <w:numId w:val="2"/>
        </w:numPr>
        <w:spacing w:before="120" w:after="0" w:line="240" w:lineRule="auto"/>
        <w:ind w:left="357" w:hanging="357"/>
        <w:contextualSpacing w:val="0"/>
        <w:jc w:val="both"/>
        <w:rPr>
          <w:rFonts w:asciiTheme="minorHAnsi" w:hAnsiTheme="minorHAnsi"/>
        </w:rPr>
      </w:pPr>
      <w:r w:rsidRPr="00A104BA">
        <w:rPr>
          <w:rFonts w:asciiTheme="minorHAnsi" w:hAnsiTheme="minorHAnsi"/>
        </w:rPr>
        <w:t xml:space="preserve">al </w:t>
      </w:r>
      <w:r w:rsidR="00766147" w:rsidRPr="00A104BA">
        <w:rPr>
          <w:rFonts w:asciiTheme="minorHAnsi" w:hAnsiTheme="minorHAnsi"/>
        </w:rPr>
        <w:t xml:space="preserve">comma 4, </w:t>
      </w:r>
      <w:r w:rsidRPr="00A104BA">
        <w:rPr>
          <w:rFonts w:asciiTheme="minorHAnsi" w:hAnsiTheme="minorHAnsi"/>
        </w:rPr>
        <w:t xml:space="preserve">le parole </w:t>
      </w:r>
      <w:r w:rsidR="00766147" w:rsidRPr="00A104BA">
        <w:rPr>
          <w:rFonts w:asciiTheme="minorHAnsi" w:hAnsiTheme="minorHAnsi"/>
        </w:rPr>
        <w:t xml:space="preserve">da </w:t>
      </w:r>
      <w:r w:rsidRPr="00A104BA">
        <w:rPr>
          <w:rFonts w:asciiTheme="minorHAnsi" w:hAnsiTheme="minorHAnsi"/>
        </w:rPr>
        <w:t>«</w:t>
      </w:r>
      <w:r w:rsidR="00766147" w:rsidRPr="00A104BA">
        <w:rPr>
          <w:rFonts w:asciiTheme="minorHAnsi" w:hAnsiTheme="minorHAnsi"/>
        </w:rPr>
        <w:t>meno sviluppate</w:t>
      </w:r>
      <w:r w:rsidRPr="00A104BA">
        <w:rPr>
          <w:rFonts w:asciiTheme="minorHAnsi" w:hAnsiTheme="minorHAnsi"/>
        </w:rPr>
        <w:t>»</w:t>
      </w:r>
      <w:r w:rsidR="00766147" w:rsidRPr="00A104BA">
        <w:rPr>
          <w:rFonts w:asciiTheme="minorHAnsi" w:hAnsiTheme="minorHAnsi"/>
        </w:rPr>
        <w:t xml:space="preserve"> </w:t>
      </w:r>
      <w:r w:rsidR="0011332B">
        <w:rPr>
          <w:rFonts w:asciiTheme="minorHAnsi" w:hAnsiTheme="minorHAnsi"/>
        </w:rPr>
        <w:t xml:space="preserve">fino </w:t>
      </w:r>
      <w:r w:rsidR="00766147" w:rsidRPr="00A104BA">
        <w:rPr>
          <w:rFonts w:asciiTheme="minorHAnsi" w:hAnsiTheme="minorHAnsi"/>
        </w:rPr>
        <w:t xml:space="preserve">a </w:t>
      </w:r>
      <w:r w:rsidRPr="00A104BA">
        <w:rPr>
          <w:rFonts w:asciiTheme="minorHAnsi" w:hAnsiTheme="minorHAnsi"/>
        </w:rPr>
        <w:t>«</w:t>
      </w:r>
      <w:r w:rsidR="00766147" w:rsidRPr="00A104BA">
        <w:rPr>
          <w:rFonts w:asciiTheme="minorHAnsi" w:hAnsiTheme="minorHAnsi"/>
        </w:rPr>
        <w:t>dall’articolo 107</w:t>
      </w:r>
      <w:r w:rsidRPr="00A104BA">
        <w:rPr>
          <w:rFonts w:asciiTheme="minorHAnsi" w:hAnsiTheme="minorHAnsi"/>
        </w:rPr>
        <w:t>»</w:t>
      </w:r>
      <w:r w:rsidR="00766147" w:rsidRPr="00A104BA">
        <w:rPr>
          <w:rFonts w:asciiTheme="minorHAnsi" w:hAnsiTheme="minorHAnsi"/>
        </w:rPr>
        <w:t xml:space="preserve"> </w:t>
      </w:r>
      <w:r w:rsidRPr="00A104BA">
        <w:rPr>
          <w:rFonts w:asciiTheme="minorHAnsi" w:hAnsiTheme="minorHAnsi"/>
        </w:rPr>
        <w:t>sono sostituite dalle seguenti</w:t>
      </w:r>
      <w:r w:rsidR="00766147" w:rsidRPr="00A104BA">
        <w:rPr>
          <w:rFonts w:asciiTheme="minorHAnsi" w:hAnsiTheme="minorHAnsi"/>
        </w:rPr>
        <w:t xml:space="preserve">: </w:t>
      </w:r>
      <w:r w:rsidRPr="00A104BA">
        <w:rPr>
          <w:rFonts w:asciiTheme="minorHAnsi" w:hAnsiTheme="minorHAnsi"/>
        </w:rPr>
        <w:t>«</w:t>
      </w:r>
      <w:r w:rsidR="00766147" w:rsidRPr="00A104BA">
        <w:rPr>
          <w:rFonts w:asciiTheme="minorHAnsi" w:hAnsiTheme="minorHAnsi"/>
        </w:rPr>
        <w:t>individuate come meno sviluppate e in transizione dalla normativa europea, e comprendono aree ammissibili alle deroghe previste dall’articolo 107, paragrafo 3, lettere a) e c),</w:t>
      </w:r>
      <w:r w:rsidRPr="00A104BA">
        <w:rPr>
          <w:rFonts w:asciiTheme="minorHAnsi" w:hAnsiTheme="minorHAnsi"/>
        </w:rPr>
        <w:t>»</w:t>
      </w:r>
      <w:r w:rsidR="00766147" w:rsidRPr="00A104BA">
        <w:rPr>
          <w:rFonts w:asciiTheme="minorHAnsi" w:hAnsiTheme="minorHAnsi"/>
        </w:rPr>
        <w:t>;</w:t>
      </w:r>
    </w:p>
    <w:p w:rsidR="0011332B" w:rsidRPr="00242F65" w:rsidRDefault="0011332B" w:rsidP="0011332B">
      <w:pPr>
        <w:pStyle w:val="Paragrafoelenco"/>
        <w:numPr>
          <w:ilvl w:val="0"/>
          <w:numId w:val="2"/>
        </w:numPr>
        <w:spacing w:before="120" w:after="0" w:line="240" w:lineRule="auto"/>
        <w:ind w:left="357" w:hanging="357"/>
        <w:contextualSpacing w:val="0"/>
        <w:jc w:val="both"/>
        <w:rPr>
          <w:rFonts w:asciiTheme="minorHAnsi" w:hAnsiTheme="minorHAnsi"/>
        </w:rPr>
      </w:pPr>
      <w:r w:rsidRPr="00A104BA">
        <w:rPr>
          <w:rFonts w:asciiTheme="minorHAnsi" w:hAnsiTheme="minorHAnsi"/>
        </w:rPr>
        <w:t>al comma 6, il secondo periodo è sostituito dal seguent</w:t>
      </w:r>
      <w:r w:rsidRPr="00CB47C8">
        <w:rPr>
          <w:rFonts w:asciiTheme="minorHAnsi" w:hAnsiTheme="minorHAnsi"/>
        </w:rPr>
        <w:t>e: «</w:t>
      </w:r>
      <w:r w:rsidRPr="00242F65">
        <w:rPr>
          <w:rFonts w:asciiTheme="minorHAnsi" w:hAnsiTheme="minorHAnsi"/>
        </w:rPr>
        <w:t>Il soggetto per l’amministrazione dell’area ZES, di seguito soggetto per l’amministrazione, è identificato in un Comitato di indirizzo composto dal Presidente dell’Autorità di sistema portuale, che lo presiede, da un rappresentante della Presidenza del Consiglio dei ministri, da un rappresentante del Ministero delle infrastrutture e dei trasporti, da un rappresentante della regione e da un rappresentante per ciascuno degli enti locali il cui territorio è ricompreso, in tutto o in parte, nella ZES.»;</w:t>
      </w:r>
    </w:p>
    <w:p w:rsidR="00766147" w:rsidRPr="00A104BA" w:rsidRDefault="00766147" w:rsidP="00766147">
      <w:pPr>
        <w:pStyle w:val="Paragrafoelenco"/>
        <w:numPr>
          <w:ilvl w:val="0"/>
          <w:numId w:val="2"/>
        </w:numPr>
        <w:spacing w:before="120" w:after="0" w:line="240" w:lineRule="auto"/>
        <w:ind w:left="357" w:hanging="357"/>
        <w:contextualSpacing w:val="0"/>
        <w:jc w:val="both"/>
        <w:rPr>
          <w:rFonts w:asciiTheme="minorHAnsi" w:hAnsiTheme="minorHAnsi"/>
        </w:rPr>
      </w:pPr>
      <w:r w:rsidRPr="00A104BA">
        <w:rPr>
          <w:rFonts w:asciiTheme="minorHAnsi" w:hAnsiTheme="minorHAnsi"/>
        </w:rPr>
        <w:t xml:space="preserve">al comma 6, </w:t>
      </w:r>
      <w:r w:rsidR="000C478B" w:rsidRPr="00A104BA">
        <w:rPr>
          <w:rFonts w:asciiTheme="minorHAnsi" w:hAnsiTheme="minorHAnsi"/>
        </w:rPr>
        <w:t>terzo periodo</w:t>
      </w:r>
      <w:r w:rsidRPr="00A104BA">
        <w:rPr>
          <w:rFonts w:asciiTheme="minorHAnsi" w:hAnsiTheme="minorHAnsi"/>
        </w:rPr>
        <w:t xml:space="preserve"> e al comma 7, lettera c), </w:t>
      </w:r>
      <w:r w:rsidR="000C478B" w:rsidRPr="00A104BA">
        <w:rPr>
          <w:rFonts w:asciiTheme="minorHAnsi" w:hAnsiTheme="minorHAnsi"/>
        </w:rPr>
        <w:t>le parole «</w:t>
      </w:r>
      <w:r w:rsidRPr="00A104BA">
        <w:rPr>
          <w:rFonts w:asciiTheme="minorHAnsi" w:hAnsiTheme="minorHAnsi"/>
        </w:rPr>
        <w:t>dell’Autorità</w:t>
      </w:r>
      <w:r w:rsidR="000C478B" w:rsidRPr="00A104BA">
        <w:rPr>
          <w:rFonts w:asciiTheme="minorHAnsi" w:hAnsiTheme="minorHAnsi"/>
        </w:rPr>
        <w:t>»</w:t>
      </w:r>
      <w:r w:rsidRPr="00A104BA">
        <w:rPr>
          <w:rFonts w:asciiTheme="minorHAnsi" w:hAnsiTheme="minorHAnsi"/>
        </w:rPr>
        <w:t xml:space="preserve"> </w:t>
      </w:r>
      <w:r w:rsidR="000C478B" w:rsidRPr="00A104BA">
        <w:rPr>
          <w:rFonts w:asciiTheme="minorHAnsi" w:hAnsiTheme="minorHAnsi"/>
        </w:rPr>
        <w:t>sono sostituite</w:t>
      </w:r>
      <w:r w:rsidRPr="00A104BA">
        <w:rPr>
          <w:rFonts w:asciiTheme="minorHAnsi" w:hAnsiTheme="minorHAnsi"/>
        </w:rPr>
        <w:t xml:space="preserve"> da</w:t>
      </w:r>
      <w:r w:rsidR="000C478B" w:rsidRPr="00A104BA">
        <w:rPr>
          <w:rFonts w:asciiTheme="minorHAnsi" w:hAnsiTheme="minorHAnsi"/>
        </w:rPr>
        <w:t>lle seguenti:</w:t>
      </w:r>
      <w:r w:rsidRPr="00A104BA">
        <w:rPr>
          <w:rFonts w:asciiTheme="minorHAnsi" w:hAnsiTheme="minorHAnsi"/>
        </w:rPr>
        <w:t xml:space="preserve"> “dell’Autorità di sistema”</w:t>
      </w:r>
      <w:r w:rsidR="000C478B" w:rsidRPr="00A104BA">
        <w:rPr>
          <w:rFonts w:asciiTheme="minorHAnsi" w:hAnsiTheme="minorHAnsi"/>
        </w:rPr>
        <w:t>;</w:t>
      </w:r>
    </w:p>
    <w:p w:rsidR="00766147" w:rsidRPr="00A104BA" w:rsidRDefault="00766147" w:rsidP="00766147">
      <w:pPr>
        <w:pStyle w:val="Paragrafoelenco"/>
        <w:numPr>
          <w:ilvl w:val="0"/>
          <w:numId w:val="2"/>
        </w:numPr>
        <w:spacing w:before="120" w:after="0" w:line="240" w:lineRule="auto"/>
        <w:ind w:left="357" w:hanging="357"/>
        <w:contextualSpacing w:val="0"/>
        <w:jc w:val="both"/>
        <w:rPr>
          <w:rFonts w:asciiTheme="minorHAnsi" w:hAnsiTheme="minorHAnsi"/>
        </w:rPr>
      </w:pPr>
      <w:r w:rsidRPr="00A104BA">
        <w:rPr>
          <w:rFonts w:asciiTheme="minorHAnsi" w:hAnsiTheme="minorHAnsi"/>
        </w:rPr>
        <w:t xml:space="preserve">al comma 6, ultimo periodo, dopo </w:t>
      </w:r>
      <w:r w:rsidR="000C478B" w:rsidRPr="00A104BA">
        <w:rPr>
          <w:rFonts w:asciiTheme="minorHAnsi" w:hAnsiTheme="minorHAnsi"/>
        </w:rPr>
        <w:t>le parole «</w:t>
      </w:r>
      <w:r w:rsidRPr="00A104BA">
        <w:rPr>
          <w:rFonts w:asciiTheme="minorHAnsi" w:hAnsiTheme="minorHAnsi"/>
        </w:rPr>
        <w:t>a legislazione vigente</w:t>
      </w:r>
      <w:r w:rsidR="000C478B" w:rsidRPr="00A104BA">
        <w:rPr>
          <w:rFonts w:asciiTheme="minorHAnsi" w:hAnsiTheme="minorHAnsi"/>
        </w:rPr>
        <w:t>» sono inserite le seguenti</w:t>
      </w:r>
      <w:r w:rsidRPr="00A104BA">
        <w:rPr>
          <w:rFonts w:asciiTheme="minorHAnsi" w:hAnsiTheme="minorHAnsi"/>
        </w:rPr>
        <w:t xml:space="preserve">: </w:t>
      </w:r>
      <w:r w:rsidR="000C478B" w:rsidRPr="00A104BA">
        <w:rPr>
          <w:rFonts w:asciiTheme="minorHAnsi" w:hAnsiTheme="minorHAnsi"/>
        </w:rPr>
        <w:t>«</w:t>
      </w:r>
      <w:r w:rsidRPr="00A104BA">
        <w:rPr>
          <w:rFonts w:asciiTheme="minorHAnsi" w:hAnsiTheme="minorHAnsi"/>
        </w:rPr>
        <w:t>degli enti locali e della regione interessati dalla ZES</w:t>
      </w:r>
      <w:r w:rsidR="000C478B" w:rsidRPr="00A104BA">
        <w:rPr>
          <w:rFonts w:asciiTheme="minorHAnsi" w:hAnsiTheme="minorHAnsi"/>
        </w:rPr>
        <w:t>»</w:t>
      </w:r>
      <w:r w:rsidRPr="00A104BA">
        <w:rPr>
          <w:rFonts w:asciiTheme="minorHAnsi" w:hAnsiTheme="minorHAnsi"/>
        </w:rPr>
        <w:t>.</w:t>
      </w:r>
    </w:p>
    <w:p w:rsidR="00766147" w:rsidRPr="00A104BA" w:rsidRDefault="00766147" w:rsidP="00766147">
      <w:pPr>
        <w:spacing w:before="120" w:after="0" w:line="240" w:lineRule="auto"/>
        <w:jc w:val="both"/>
      </w:pPr>
    </w:p>
    <w:p w:rsidR="00766147" w:rsidRPr="00A104BA" w:rsidRDefault="00766147" w:rsidP="00766147">
      <w:pPr>
        <w:spacing w:before="120" w:after="0" w:line="240" w:lineRule="auto"/>
        <w:jc w:val="center"/>
        <w:rPr>
          <w:b/>
        </w:rPr>
      </w:pPr>
      <w:r w:rsidRPr="00A104BA">
        <w:rPr>
          <w:b/>
        </w:rPr>
        <w:t>Relazione illustrativa</w:t>
      </w:r>
    </w:p>
    <w:p w:rsidR="00CF31C4" w:rsidRDefault="00D319D9" w:rsidP="00CF31C4">
      <w:pPr>
        <w:spacing w:before="120" w:after="0" w:line="240" w:lineRule="auto"/>
        <w:jc w:val="both"/>
      </w:pPr>
      <w:r>
        <w:t xml:space="preserve">Le proposte di modifica </w:t>
      </w:r>
      <w:r w:rsidR="00CF31C4" w:rsidRPr="00CF31C4">
        <w:t xml:space="preserve">del primo periodo del comma 2 e </w:t>
      </w:r>
      <w:r>
        <w:t>de</w:t>
      </w:r>
      <w:r w:rsidR="00CF31C4" w:rsidRPr="00CF31C4">
        <w:t>l comma 3 sono necessari</w:t>
      </w:r>
      <w:r>
        <w:t>e</w:t>
      </w:r>
      <w:r w:rsidR="00CF31C4" w:rsidRPr="00CF31C4">
        <w:t xml:space="preserve"> per puntualizzare i criteri di definizione delle ZES</w:t>
      </w:r>
      <w:r w:rsidR="00CF31C4">
        <w:t>, anche per</w:t>
      </w:r>
      <w:r w:rsidR="00CF31C4" w:rsidRPr="00CF31C4">
        <w:t xml:space="preserve"> collegarle in mo</w:t>
      </w:r>
      <w:r w:rsidR="008B149C">
        <w:t xml:space="preserve">do più </w:t>
      </w:r>
      <w:r w:rsidR="003A4F56">
        <w:t xml:space="preserve">preciso </w:t>
      </w:r>
      <w:r w:rsidR="008B149C">
        <w:t xml:space="preserve">ai riferimenti europei </w:t>
      </w:r>
      <w:r w:rsidR="00CF31C4" w:rsidRPr="00CF31C4">
        <w:t xml:space="preserve">in materia di porti compresi nelle reti europee dei trasporti (TEN-T). </w:t>
      </w:r>
    </w:p>
    <w:p w:rsidR="008B149C" w:rsidRDefault="00CF31C4" w:rsidP="00CF31C4">
      <w:pPr>
        <w:spacing w:before="120" w:after="0" w:line="240" w:lineRule="auto"/>
        <w:jc w:val="both"/>
      </w:pPr>
      <w:r>
        <w:t>Infatti, l</w:t>
      </w:r>
      <w:r w:rsidRPr="00CF31C4">
        <w:t>’individuazione della ZES è l’elemento centrale sul quale si basa un i</w:t>
      </w:r>
      <w:r w:rsidR="008B149C">
        <w:t>ntervento specifico di sviluppo.</w:t>
      </w:r>
      <w:r w:rsidRPr="00CF31C4">
        <w:t xml:space="preserve"> </w:t>
      </w:r>
      <w:r w:rsidR="008B149C">
        <w:t xml:space="preserve">Sul punto, </w:t>
      </w:r>
      <w:r w:rsidRPr="00CF31C4">
        <w:t xml:space="preserve">il comma 2 dell’articolo 4 </w:t>
      </w:r>
      <w:r w:rsidR="003A4F56">
        <w:t xml:space="preserve">contiene </w:t>
      </w:r>
      <w:r w:rsidRPr="00CF31C4">
        <w:t xml:space="preserve">alcune chiare indicazioni del modello territoriale di intervento, ma allo stesso tempo risulta limitato nella formulazione, che potrebbe creare </w:t>
      </w:r>
      <w:r w:rsidR="003A4F56">
        <w:t xml:space="preserve">diversi </w:t>
      </w:r>
      <w:r w:rsidRPr="00CF31C4">
        <w:t xml:space="preserve">problemi in fase di proposta e di pianificazione della ZES. </w:t>
      </w:r>
    </w:p>
    <w:p w:rsidR="00CF31C4" w:rsidRPr="00CF31C4" w:rsidRDefault="003A4F56" w:rsidP="00CF31C4">
      <w:pPr>
        <w:spacing w:before="120" w:after="0" w:line="240" w:lineRule="auto"/>
        <w:jc w:val="both"/>
      </w:pPr>
      <w:r>
        <w:t xml:space="preserve">Alcuni </w:t>
      </w:r>
      <w:r w:rsidR="00CF31C4" w:rsidRPr="00CF31C4">
        <w:t xml:space="preserve">punti della </w:t>
      </w:r>
      <w:r>
        <w:t xml:space="preserve">norma </w:t>
      </w:r>
      <w:r w:rsidR="00CF31C4" w:rsidRPr="00CF31C4">
        <w:t>non possono essere colmati dal DPCM previsto dal comma</w:t>
      </w:r>
      <w:r>
        <w:t xml:space="preserve"> 3, per cui </w:t>
      </w:r>
      <w:r w:rsidR="004159FC">
        <w:t>è</w:t>
      </w:r>
      <w:r>
        <w:t xml:space="preserve"> necessario </w:t>
      </w:r>
      <w:r w:rsidR="00CF31C4" w:rsidRPr="00CF31C4">
        <w:t xml:space="preserve">intervenire sulla norma </w:t>
      </w:r>
      <w:r w:rsidR="008B149C">
        <w:t xml:space="preserve">primaria </w:t>
      </w:r>
      <w:r w:rsidR="00CF31C4" w:rsidRPr="00CF31C4">
        <w:t>per renderla più chiara e agevolmente utilizzabile per la definizione dei criteri attuativi, la formulazione delle proposte e l’elaborazione dei piani di sviluppo strategico.</w:t>
      </w:r>
    </w:p>
    <w:p w:rsidR="00CF31C4" w:rsidRPr="00CF31C4" w:rsidRDefault="003A4F56" w:rsidP="00CF31C4">
      <w:pPr>
        <w:spacing w:before="120" w:after="0" w:line="240" w:lineRule="auto"/>
        <w:jc w:val="both"/>
      </w:pPr>
      <w:r>
        <w:t>In particolare, n</w:t>
      </w:r>
      <w:r w:rsidR="008B149C">
        <w:t xml:space="preserve">ella definizione </w:t>
      </w:r>
      <w:r w:rsidR="00CF31C4" w:rsidRPr="00CF31C4">
        <w:t xml:space="preserve">va </w:t>
      </w:r>
      <w:r w:rsidR="008B149C">
        <w:t xml:space="preserve">anzitutto </w:t>
      </w:r>
      <w:r w:rsidR="00CF31C4" w:rsidRPr="00CF31C4">
        <w:t xml:space="preserve">richiamata la criticità dell’area oggetto di intervento collegata alla finalità propria della ZES, </w:t>
      </w:r>
      <w:r w:rsidR="003D3F5F">
        <w:t xml:space="preserve">ovvero </w:t>
      </w:r>
      <w:r w:rsidR="00CF31C4" w:rsidRPr="00CF31C4">
        <w:t>al ritardo di sviluppo o alla difficoltà di a</w:t>
      </w:r>
      <w:r w:rsidR="003D3F5F">
        <w:t xml:space="preserve">vviare un processo di sviluppo. Infatti, le proposte </w:t>
      </w:r>
      <w:r w:rsidR="00CF31C4" w:rsidRPr="00CF31C4">
        <w:t>di ZES possono essere pres</w:t>
      </w:r>
      <w:r>
        <w:t>entate dalle regioni meno sviluppate e in transizione</w:t>
      </w:r>
      <w:r w:rsidR="00CF31C4" w:rsidRPr="00CF31C4">
        <w:t xml:space="preserve"> definite dalla disciplina </w:t>
      </w:r>
      <w:r w:rsidR="003D3F5F">
        <w:t xml:space="preserve">UE </w:t>
      </w:r>
      <w:r w:rsidR="00CF31C4" w:rsidRPr="00CF31C4">
        <w:t>sui Fondi strutturali e di investimento europei (Fondi SIE).</w:t>
      </w:r>
    </w:p>
    <w:p w:rsidR="00CF31C4" w:rsidRPr="00CF31C4" w:rsidRDefault="00CF31C4" w:rsidP="00CF31C4">
      <w:pPr>
        <w:spacing w:before="120" w:after="0" w:line="240" w:lineRule="auto"/>
        <w:jc w:val="both"/>
      </w:pPr>
      <w:r w:rsidRPr="00CF31C4">
        <w:t xml:space="preserve">Altro aspetto rilevante </w:t>
      </w:r>
      <w:r w:rsidR="003A4F56">
        <w:t xml:space="preserve">riguarda l’estensione territoriale della </w:t>
      </w:r>
      <w:r w:rsidRPr="00CF31C4">
        <w:t>ZES, avendo come riferimento anche l’esperienza di altri paesi UE (in particolare la Polonia), ma anche le specificità rilevabili nelle regioni interessate. Posto il principio, già presente nella formulazione del comma 2, di un’</w:t>
      </w:r>
      <w:r w:rsidR="003A4F56">
        <w:t xml:space="preserve">area </w:t>
      </w:r>
      <w:r w:rsidRPr="00CF31C4">
        <w:t>geograficamente delimitata e chiaramente identificata, la definizione di una ZES p</w:t>
      </w:r>
      <w:r w:rsidR="003A4F56">
        <w:t>uò presentare diverse varianti</w:t>
      </w:r>
      <w:r w:rsidRPr="00CF31C4">
        <w:t xml:space="preserve"> che vanno necessariamente considerate: si va da un’area specifica, che può anche essere di livello sub-comunale, ad aggregazioni di aree normalmente contigue, ma che potrebbero anche non esserlo.</w:t>
      </w:r>
    </w:p>
    <w:p w:rsidR="00CF31C4" w:rsidRPr="00CF31C4" w:rsidRDefault="00CF31C4" w:rsidP="00CF31C4">
      <w:pPr>
        <w:spacing w:before="120" w:after="0" w:line="240" w:lineRule="auto"/>
        <w:jc w:val="both"/>
      </w:pPr>
      <w:r w:rsidRPr="00CF31C4">
        <w:t>La formulazione</w:t>
      </w:r>
      <w:r w:rsidR="003D3F5F">
        <w:t xml:space="preserve"> della norma in esame</w:t>
      </w:r>
      <w:r w:rsidRPr="00CF31C4">
        <w:t xml:space="preserve"> </w:t>
      </w:r>
      <w:r w:rsidR="003D3F5F">
        <w:t>risulta generica e potrebbe dar luogo a</w:t>
      </w:r>
      <w:r w:rsidR="008C0E6A">
        <w:t>lla</w:t>
      </w:r>
      <w:r w:rsidRPr="00CF31C4">
        <w:t xml:space="preserve"> definizione di ZES anche molto ampie e non adeguatamente mo</w:t>
      </w:r>
      <w:r w:rsidR="00F07A07">
        <w:t>tivate da valutazioni oggettive. I</w:t>
      </w:r>
      <w:r w:rsidRPr="00CF31C4">
        <w:t>n tal senso, sopra</w:t>
      </w:r>
      <w:r w:rsidR="003A4F56">
        <w:t xml:space="preserve">ttutto con riferimento ad aree </w:t>
      </w:r>
      <w:r w:rsidRPr="00CF31C4">
        <w:t>territorialmente non adiacenti, ma non solo, è opportuno rafforzare la condizione già posta dalla norma del</w:t>
      </w:r>
      <w:r w:rsidR="003A4F56">
        <w:t>la</w:t>
      </w:r>
      <w:r w:rsidR="00F07A07">
        <w:t xml:space="preserve"> presenza di un nesso economico-</w:t>
      </w:r>
      <w:r w:rsidR="003A4F56">
        <w:t>funzionale</w:t>
      </w:r>
      <w:r w:rsidRPr="00CF31C4">
        <w:t xml:space="preserve"> con un riferimento esplicito ai</w:t>
      </w:r>
      <w:r w:rsidR="003A4F56">
        <w:t xml:space="preserve"> nessi infrastrutturali</w:t>
      </w:r>
      <w:r w:rsidRPr="00CF31C4">
        <w:t xml:space="preserve"> (la cui presenza normalmente svolge la funzione di connettere e integrare il territorio, anche in situazioni di non contiguità). La validità di questi nessi deve poi essere anche dimostrata da misurazioni statistiche e rilevazioni fisiche, al fine di definire in termini il più possibile oggettivi la definizione della ZES.</w:t>
      </w:r>
    </w:p>
    <w:p w:rsidR="00CF31C4" w:rsidRPr="00CF31C4" w:rsidRDefault="00CF31C4" w:rsidP="00CF31C4">
      <w:pPr>
        <w:spacing w:before="120" w:after="0" w:line="240" w:lineRule="auto"/>
        <w:jc w:val="both"/>
      </w:pPr>
      <w:r w:rsidRPr="00CF31C4">
        <w:t xml:space="preserve">Infine, risulta necessario specificare meglio la norma istitutiva delle ZES che </w:t>
      </w:r>
      <w:r w:rsidR="00F07A07">
        <w:t xml:space="preserve">persegue </w:t>
      </w:r>
      <w:r w:rsidRPr="00CF31C4">
        <w:t>l’obiettivo di sfruttare le potenzialità di sviluppo della portualità nell’ambito della regolamentazione e della programmazione comunitaria sulle TEN-T. In tal senso, appare opportuno specific</w:t>
      </w:r>
      <w:r w:rsidR="008C0E6A">
        <w:t>are che la ZES può comprendere</w:t>
      </w:r>
      <w:r w:rsidRPr="00CF31C4">
        <w:t xml:space="preserve"> o</w:t>
      </w:r>
      <w:r w:rsidR="008C0E6A">
        <w:t xml:space="preserve"> anche fare riferimento non a una area portuale</w:t>
      </w:r>
      <w:r w:rsidRPr="00CF31C4">
        <w:t xml:space="preserve"> (nella regolamentazione comunitaria in materia di TEN-T non esiste alcuna def</w:t>
      </w:r>
      <w:r w:rsidR="008C0E6A">
        <w:t>inizione di tale termine), ma a</w:t>
      </w:r>
      <w:r w:rsidR="00225D6A">
        <w:t xml:space="preserve"> un’</w:t>
      </w:r>
      <w:r w:rsidRPr="00CF31C4">
        <w:t xml:space="preserve">infrastruttura di trasporto marittimo, di cui sono indicate dalla disciplina </w:t>
      </w:r>
      <w:r w:rsidR="008C0E6A">
        <w:t xml:space="preserve">europea </w:t>
      </w:r>
      <w:r w:rsidRPr="00CF31C4">
        <w:t xml:space="preserve">le caratteristiche richieste per rientrare nella rete </w:t>
      </w:r>
      <w:proofErr w:type="spellStart"/>
      <w:r w:rsidRPr="00CF31C4">
        <w:t>transeuropea</w:t>
      </w:r>
      <w:proofErr w:type="spellEnd"/>
      <w:r w:rsidRPr="00CF31C4">
        <w:t xml:space="preserve"> dei trasporti, formata da una rete globale (</w:t>
      </w:r>
      <w:proofErr w:type="spellStart"/>
      <w:r w:rsidRPr="00CF31C4">
        <w:rPr>
          <w:i/>
        </w:rPr>
        <w:t>comprehensive</w:t>
      </w:r>
      <w:proofErr w:type="spellEnd"/>
      <w:r w:rsidRPr="00CF31C4">
        <w:t>) e centrale (</w:t>
      </w:r>
      <w:proofErr w:type="spellStart"/>
      <w:r w:rsidRPr="00CF31C4">
        <w:rPr>
          <w:i/>
        </w:rPr>
        <w:t>core</w:t>
      </w:r>
      <w:proofErr w:type="spellEnd"/>
      <w:r w:rsidR="008C0E6A">
        <w:t>) di nodi di porti marittimi</w:t>
      </w:r>
      <w:r w:rsidRPr="00CF31C4">
        <w:t xml:space="preserve"> chiaramente identificati.</w:t>
      </w:r>
    </w:p>
    <w:p w:rsidR="00CF31C4" w:rsidRPr="00CF31C4" w:rsidRDefault="00CF31C4" w:rsidP="00CF31C4">
      <w:pPr>
        <w:spacing w:before="120" w:after="0" w:line="240" w:lineRule="auto"/>
        <w:jc w:val="both"/>
      </w:pPr>
      <w:r w:rsidRPr="00CF31C4">
        <w:t xml:space="preserve">L’emendamento al comma 4 definisce in modo più preciso i riferimenti </w:t>
      </w:r>
      <w:r w:rsidR="008C0E6A">
        <w:t xml:space="preserve">europei </w:t>
      </w:r>
      <w:r w:rsidRPr="00CF31C4">
        <w:t>in materia di regioni beneficiarie della politica di coesione e di aree beneficiarie delle deroghe alla disciplina sugli aiuti di Stato a finalità regionale.</w:t>
      </w:r>
    </w:p>
    <w:p w:rsidR="00D17992" w:rsidRPr="00CF31C4" w:rsidRDefault="00D17992" w:rsidP="00D17992">
      <w:pPr>
        <w:spacing w:before="120" w:after="0" w:line="240" w:lineRule="auto"/>
        <w:jc w:val="both"/>
      </w:pPr>
      <w:r>
        <w:t>L</w:t>
      </w:r>
      <w:r w:rsidRPr="00CF31C4">
        <w:t>a riformulazione del secondo periodo del comma 6 amplia la composizione del Comitato di indirizzo, includendovi i rappresentanti degli enti locali il cui territorio, in tutto o in parte, ricade nella ZES. Tale ampliamento risulta necessario per coinvolgere, anche sul piano organizzativo e finanziario, la regione e gli enti locali interessati dalla ZES, nel fornire le risorse necessarie al funzionamento del Comitato di indirizzo, come previsto dall’emendamento all’ultimo periodo dello stesso comma 6.</w:t>
      </w:r>
    </w:p>
    <w:p w:rsidR="00766147" w:rsidRPr="00A104BA" w:rsidRDefault="00D17992" w:rsidP="00A104BA">
      <w:pPr>
        <w:spacing w:before="120" w:after="0" w:line="240" w:lineRule="auto"/>
        <w:jc w:val="both"/>
      </w:pPr>
      <w:r>
        <w:t>Infine, g</w:t>
      </w:r>
      <w:r w:rsidR="00CF31C4" w:rsidRPr="00CF31C4">
        <w:t xml:space="preserve">li emendamenti al comma 6, terzo periodo, e al comma 7, lettera c), aggiornano il riferimento alle Autorità portuali </w:t>
      </w:r>
      <w:r>
        <w:t xml:space="preserve">con quello alle </w:t>
      </w:r>
      <w:r w:rsidR="00CF31C4" w:rsidRPr="00CF31C4">
        <w:t xml:space="preserve">nuove “Autorità di sistema portuale”, introdotte dal </w:t>
      </w:r>
      <w:proofErr w:type="spellStart"/>
      <w:r w:rsidR="00CF31C4" w:rsidRPr="00CF31C4">
        <w:t>D.Lgs.</w:t>
      </w:r>
      <w:proofErr w:type="spellEnd"/>
      <w:r w:rsidR="00CF31C4" w:rsidRPr="00CF31C4">
        <w:t xml:space="preserve"> n. 169/2016, che ha riformato la legge 84/94 sul “Riordino della legislazione in materia portuale”.</w:t>
      </w:r>
      <w:r w:rsidR="00766147" w:rsidRPr="00A104BA">
        <w:br w:type="page"/>
      </w:r>
    </w:p>
    <w:p w:rsidR="009C50E9" w:rsidRPr="00A104BA" w:rsidRDefault="009C50E9" w:rsidP="009C50E9">
      <w:pPr>
        <w:spacing w:before="120" w:after="0" w:line="240" w:lineRule="auto"/>
        <w:jc w:val="right"/>
        <w:rPr>
          <w:b/>
          <w:color w:val="FF0000"/>
        </w:rPr>
      </w:pPr>
      <w:r w:rsidRPr="00A104BA">
        <w:rPr>
          <w:b/>
          <w:color w:val="FF0000"/>
        </w:rPr>
        <w:t>PREFETTURE</w:t>
      </w:r>
      <w:r w:rsidR="0088214D" w:rsidRPr="00A104BA">
        <w:rPr>
          <w:b/>
          <w:color w:val="FF0000"/>
        </w:rPr>
        <w:t xml:space="preserve"> – ASSISTENZA TECNICO AMMINISTRATIVA</w:t>
      </w:r>
    </w:p>
    <w:p w:rsidR="00011419" w:rsidRDefault="00011419" w:rsidP="009C50E9">
      <w:pPr>
        <w:spacing w:before="120" w:after="0" w:line="240" w:lineRule="auto"/>
        <w:jc w:val="center"/>
        <w:rPr>
          <w:b/>
        </w:rPr>
      </w:pPr>
    </w:p>
    <w:p w:rsidR="009C50E9" w:rsidRPr="00A104BA" w:rsidRDefault="009C50E9" w:rsidP="009C50E9">
      <w:pPr>
        <w:spacing w:before="120" w:after="0" w:line="240" w:lineRule="auto"/>
        <w:jc w:val="center"/>
        <w:rPr>
          <w:b/>
        </w:rPr>
      </w:pPr>
      <w:r w:rsidRPr="00A104BA">
        <w:rPr>
          <w:b/>
        </w:rPr>
        <w:t>DDL recante “Conversione in legge del decreto-legge 20 giugno 2017, n. 91, recante disposizioni urgenti per la crescita economica nel Mezzogiorno”</w:t>
      </w:r>
    </w:p>
    <w:p w:rsidR="009C50E9" w:rsidRPr="00A104BA" w:rsidRDefault="009C50E9" w:rsidP="009C50E9">
      <w:pPr>
        <w:spacing w:before="120" w:after="0" w:line="240" w:lineRule="auto"/>
        <w:jc w:val="center"/>
        <w:rPr>
          <w:b/>
        </w:rPr>
      </w:pPr>
      <w:r w:rsidRPr="00A104BA">
        <w:rPr>
          <w:b/>
        </w:rPr>
        <w:t>(AS 2860)</w:t>
      </w:r>
    </w:p>
    <w:p w:rsidR="009C50E9" w:rsidRPr="00A104BA" w:rsidRDefault="009C50E9" w:rsidP="009C50E9">
      <w:pPr>
        <w:spacing w:before="120" w:after="0" w:line="240" w:lineRule="auto"/>
        <w:jc w:val="both"/>
      </w:pPr>
    </w:p>
    <w:p w:rsidR="00A104BA" w:rsidRPr="00A104BA" w:rsidRDefault="00A104BA" w:rsidP="00A104BA">
      <w:pPr>
        <w:spacing w:before="120" w:after="0" w:line="240" w:lineRule="auto"/>
        <w:jc w:val="both"/>
        <w:rPr>
          <w:b/>
          <w:bCs/>
          <w:smallCaps/>
        </w:rPr>
      </w:pPr>
      <w:r w:rsidRPr="00A104BA">
        <w:rPr>
          <w:b/>
          <w:bCs/>
          <w:smallCaps/>
        </w:rPr>
        <w:t xml:space="preserve">Emendamento </w:t>
      </w:r>
    </w:p>
    <w:p w:rsidR="009C50E9" w:rsidRPr="00A104BA" w:rsidRDefault="009C50E9" w:rsidP="009C50E9">
      <w:pPr>
        <w:spacing w:before="120" w:after="0" w:line="240" w:lineRule="auto"/>
        <w:jc w:val="both"/>
      </w:pPr>
      <w:r w:rsidRPr="00A104BA">
        <w:t>All’articolo 15, dopo il comma 2, inserire il seguente:</w:t>
      </w:r>
    </w:p>
    <w:p w:rsidR="009C50E9" w:rsidRPr="00A104BA" w:rsidRDefault="009C50E9" w:rsidP="009C50E9">
      <w:pPr>
        <w:spacing w:before="120" w:after="0" w:line="240" w:lineRule="auto"/>
        <w:jc w:val="both"/>
      </w:pPr>
      <w:r w:rsidRPr="00A104BA">
        <w:t>«2.</w:t>
      </w:r>
      <w:r w:rsidRPr="00A104BA">
        <w:rPr>
          <w:i/>
        </w:rPr>
        <w:t>bis</w:t>
      </w:r>
      <w:r w:rsidRPr="00A104BA">
        <w:t>. Il supporto tecnico e amministrativo di cui al comma 1 può essere disposto dal Prefetto, anche su istanza delle associazioni di categoria maggiormente rappresentative, in relazione a specifici procedimenti o provvedimenti amministrativi di competenza degli enti locali del territorio di riferimento.».</w:t>
      </w:r>
    </w:p>
    <w:p w:rsidR="004159FC" w:rsidRDefault="004159FC" w:rsidP="009C50E9">
      <w:pPr>
        <w:spacing w:before="120" w:after="0" w:line="240" w:lineRule="auto"/>
        <w:jc w:val="center"/>
        <w:rPr>
          <w:b/>
        </w:rPr>
      </w:pPr>
    </w:p>
    <w:p w:rsidR="009C50E9" w:rsidRPr="00A104BA" w:rsidRDefault="009C50E9" w:rsidP="009C50E9">
      <w:pPr>
        <w:spacing w:before="120" w:after="0" w:line="240" w:lineRule="auto"/>
        <w:jc w:val="center"/>
        <w:rPr>
          <w:b/>
        </w:rPr>
      </w:pPr>
      <w:r w:rsidRPr="00A104BA">
        <w:rPr>
          <w:b/>
        </w:rPr>
        <w:t>Relazione illustrativa</w:t>
      </w:r>
    </w:p>
    <w:p w:rsidR="009C50E9" w:rsidRPr="00A104BA" w:rsidRDefault="009C50E9" w:rsidP="009C50E9">
      <w:pPr>
        <w:spacing w:before="120" w:after="0" w:line="240" w:lineRule="auto"/>
        <w:jc w:val="both"/>
      </w:pPr>
      <w:r w:rsidRPr="00A104BA">
        <w:t xml:space="preserve">La proposta emendativa prevede la possibilità per il Prefetto di disporre l’assistenza tecnico-amministrativa nei confronti degli enti locali che necessitano di supporto specifico in relazione a determinati procedimenti o provvedimenti. </w:t>
      </w:r>
    </w:p>
    <w:p w:rsidR="009C50E9" w:rsidRPr="00A104BA" w:rsidRDefault="009C50E9" w:rsidP="009C50E9">
      <w:pPr>
        <w:spacing w:before="120" w:after="0" w:line="240" w:lineRule="auto"/>
        <w:jc w:val="both"/>
      </w:pPr>
      <w:r w:rsidRPr="00A104BA">
        <w:t>In particolare, l’emendamento consente ai rappresentanti degli operatori economici di sollecitare tale forma di assistenza, in un’ottica di miglioramento dei servizi pubblici erogati e di rafforzamento della coesione sociale.</w:t>
      </w:r>
    </w:p>
    <w:p w:rsidR="009C50E9" w:rsidRPr="00A104BA" w:rsidRDefault="009C50E9" w:rsidP="009C50E9">
      <w:pPr>
        <w:spacing w:before="120" w:after="0" w:line="240" w:lineRule="auto"/>
        <w:jc w:val="both"/>
      </w:pPr>
      <w:r w:rsidRPr="00A104BA">
        <w:t>Rispetto ai tradizionali poteri sostitutivi, la misura proposta consentirebbe al Prefetto di intervenire</w:t>
      </w:r>
      <w:r w:rsidR="0088214D" w:rsidRPr="00A104BA">
        <w:t>, d’ufficio o su istanza delle associazioni di categoria,</w:t>
      </w:r>
      <w:r w:rsidRPr="00A104BA">
        <w:t xml:space="preserve"> in particolari situazioni di criticità attraverso forme di “accompagnamento” tecnico-amministrativo dell’ente locale interessato, rispettandone le competenze e le prerogative.</w:t>
      </w:r>
    </w:p>
    <w:p w:rsidR="00CD29A3" w:rsidRDefault="00CD29A3">
      <w:pPr>
        <w:rPr>
          <w:rFonts w:cs="Times New Roman"/>
        </w:rPr>
      </w:pPr>
      <w:r>
        <w:rPr>
          <w:rFonts w:cs="Times New Roman"/>
        </w:rPr>
        <w:br w:type="page"/>
      </w:r>
    </w:p>
    <w:p w:rsidR="00B05EC4" w:rsidRPr="00B05EC4" w:rsidRDefault="00B05EC4" w:rsidP="00B05EC4">
      <w:pPr>
        <w:spacing w:after="0" w:line="240" w:lineRule="auto"/>
        <w:jc w:val="right"/>
        <w:rPr>
          <w:b/>
          <w:color w:val="FF0000"/>
        </w:rPr>
      </w:pPr>
      <w:r w:rsidRPr="00B05EC4">
        <w:rPr>
          <w:b/>
          <w:color w:val="FF0000"/>
        </w:rPr>
        <w:t>CREDITO D’IMPOSTA INVESTIMENTI SISMA CENTRO ITALIA</w:t>
      </w:r>
    </w:p>
    <w:p w:rsidR="00011419" w:rsidRDefault="00011419" w:rsidP="00C43108">
      <w:pPr>
        <w:spacing w:before="120" w:after="0" w:line="240" w:lineRule="auto"/>
        <w:jc w:val="center"/>
        <w:rPr>
          <w:b/>
        </w:rPr>
      </w:pPr>
    </w:p>
    <w:p w:rsidR="00C43108" w:rsidRPr="00A104BA" w:rsidRDefault="00C43108" w:rsidP="00C43108">
      <w:pPr>
        <w:spacing w:before="120" w:after="0" w:line="240" w:lineRule="auto"/>
        <w:jc w:val="center"/>
        <w:rPr>
          <w:b/>
        </w:rPr>
      </w:pPr>
      <w:r w:rsidRPr="00A104BA">
        <w:rPr>
          <w:b/>
        </w:rPr>
        <w:t>DDL recante “Conversione in legge del decreto-legge 20 giugno 2017, n. 91, recante disposizioni urgenti per la crescita economica nel Mezzogiorno”</w:t>
      </w:r>
    </w:p>
    <w:p w:rsidR="00C43108" w:rsidRPr="00A104BA" w:rsidRDefault="00C43108" w:rsidP="00C43108">
      <w:pPr>
        <w:spacing w:before="120" w:after="0" w:line="240" w:lineRule="auto"/>
        <w:jc w:val="center"/>
        <w:rPr>
          <w:b/>
        </w:rPr>
      </w:pPr>
      <w:r w:rsidRPr="00A104BA">
        <w:rPr>
          <w:b/>
        </w:rPr>
        <w:t>(AS 2860)</w:t>
      </w:r>
    </w:p>
    <w:p w:rsidR="00B05EC4" w:rsidRPr="00EA79D1" w:rsidRDefault="00B05EC4" w:rsidP="00B05EC4">
      <w:pPr>
        <w:pStyle w:val="Paragrafoelenco"/>
        <w:autoSpaceDE w:val="0"/>
        <w:autoSpaceDN w:val="0"/>
        <w:adjustRightInd w:val="0"/>
        <w:spacing w:before="120" w:after="0" w:line="240" w:lineRule="auto"/>
        <w:ind w:left="0"/>
        <w:contextualSpacing w:val="0"/>
        <w:jc w:val="center"/>
        <w:rPr>
          <w:b/>
          <w:bCs/>
          <w:smallCaps/>
        </w:rPr>
      </w:pPr>
    </w:p>
    <w:p w:rsidR="00B05EC4" w:rsidRPr="00EA79D1" w:rsidRDefault="00B05EC4" w:rsidP="00B05EC4">
      <w:pPr>
        <w:pStyle w:val="Normale1"/>
        <w:pBdr>
          <w:top w:val="none" w:sz="0" w:space="0" w:color="auto"/>
          <w:left w:val="none" w:sz="0" w:space="0" w:color="auto"/>
          <w:bottom w:val="none" w:sz="0" w:space="0" w:color="auto"/>
          <w:right w:val="none" w:sz="0" w:space="0" w:color="auto"/>
          <w:bar w:val="none" w:sz="0" w:color="auto"/>
        </w:pBdr>
        <w:rPr>
          <w:b/>
          <w:bCs/>
          <w:smallCaps/>
        </w:rPr>
      </w:pPr>
      <w:r w:rsidRPr="00EA79D1">
        <w:rPr>
          <w:b/>
          <w:bCs/>
          <w:smallCaps/>
        </w:rPr>
        <w:t xml:space="preserve">Emendamento </w:t>
      </w:r>
    </w:p>
    <w:p w:rsidR="00B05EC4" w:rsidRPr="00EA79D1" w:rsidRDefault="004616C6" w:rsidP="00B05EC4">
      <w:pPr>
        <w:pStyle w:val="Normale1"/>
        <w:pBdr>
          <w:top w:val="none" w:sz="0" w:space="0" w:color="auto"/>
          <w:left w:val="none" w:sz="0" w:space="0" w:color="auto"/>
          <w:bottom w:val="none" w:sz="0" w:space="0" w:color="auto"/>
          <w:right w:val="none" w:sz="0" w:space="0" w:color="auto"/>
          <w:bar w:val="none" w:sz="0" w:color="auto"/>
        </w:pBdr>
      </w:pPr>
      <w:r>
        <w:t>Dopo l’articolo 14 inserire i</w:t>
      </w:r>
      <w:r w:rsidR="00B05EC4">
        <w:t xml:space="preserve">l </w:t>
      </w:r>
      <w:r w:rsidR="00B05EC4" w:rsidRPr="00EA79D1">
        <w:t>seguente:</w:t>
      </w:r>
    </w:p>
    <w:p w:rsidR="001178A3" w:rsidRDefault="00B05EC4" w:rsidP="001178A3">
      <w:pPr>
        <w:spacing w:before="120" w:after="0" w:line="240" w:lineRule="auto"/>
        <w:jc w:val="center"/>
      </w:pPr>
      <w:r>
        <w:t>«</w:t>
      </w:r>
      <w:r w:rsidRPr="00EA79D1">
        <w:t>1</w:t>
      </w:r>
      <w:r w:rsidR="004616C6">
        <w:t>4.</w:t>
      </w:r>
      <w:r w:rsidR="004616C6" w:rsidRPr="004616C6">
        <w:rPr>
          <w:i/>
        </w:rPr>
        <w:t>bis</w:t>
      </w:r>
      <w:r w:rsidRPr="00EA79D1">
        <w:t>.</w:t>
      </w:r>
      <w:r w:rsidR="001178A3">
        <w:t xml:space="preserve"> </w:t>
      </w:r>
      <w:r w:rsidR="004616C6">
        <w:t>(Modifiche</w:t>
      </w:r>
      <w:r w:rsidR="001178A3">
        <w:t xml:space="preserve"> al </w:t>
      </w:r>
      <w:r w:rsidR="001178A3" w:rsidRPr="00EA79D1">
        <w:rPr>
          <w:rFonts w:cs="Times New Roman"/>
        </w:rPr>
        <w:t xml:space="preserve">Credito </w:t>
      </w:r>
      <w:r w:rsidR="001178A3" w:rsidRPr="00EA79D1">
        <w:rPr>
          <w:rFonts w:eastAsia="Times New Roman" w:cs="Arial"/>
        </w:rPr>
        <w:t>d’imposta</w:t>
      </w:r>
      <w:r w:rsidR="001178A3" w:rsidRPr="00EA79D1">
        <w:rPr>
          <w:rFonts w:cs="Times New Roman"/>
        </w:rPr>
        <w:t xml:space="preserve"> investimenti Sisma Centro Italia</w:t>
      </w:r>
      <w:r w:rsidR="001178A3">
        <w:rPr>
          <w:rFonts w:cs="Times New Roman"/>
        </w:rPr>
        <w:t>)</w:t>
      </w:r>
    </w:p>
    <w:p w:rsidR="00B05EC4" w:rsidRPr="00EA79D1" w:rsidRDefault="00B05EC4" w:rsidP="00B05EC4">
      <w:pPr>
        <w:spacing w:before="120" w:after="0" w:line="240" w:lineRule="auto"/>
        <w:jc w:val="both"/>
        <w:rPr>
          <w:rFonts w:cs="Arial"/>
          <w:iCs/>
          <w:lang w:eastAsia="it-IT"/>
        </w:rPr>
      </w:pPr>
      <w:r w:rsidRPr="00EA79D1">
        <w:t>L’articolo 18-</w:t>
      </w:r>
      <w:r w:rsidRPr="00D03E5D">
        <w:rPr>
          <w:i/>
        </w:rPr>
        <w:t>quater</w:t>
      </w:r>
      <w:r w:rsidR="001178A3">
        <w:t xml:space="preserve"> del decreto-</w:t>
      </w:r>
      <w:r w:rsidRPr="00EA79D1">
        <w:t>legge 9 febbraio 2017, n. 8, convertito con modificazioni dalla legge 7 aprile 2015, n. 45, è sostituito dal seguente:</w:t>
      </w:r>
    </w:p>
    <w:p w:rsidR="00B05EC4" w:rsidRPr="00EA79D1" w:rsidRDefault="00B05EC4" w:rsidP="00B05EC4">
      <w:pPr>
        <w:pStyle w:val="Normale1"/>
        <w:pBdr>
          <w:top w:val="none" w:sz="0" w:space="0" w:color="auto"/>
          <w:left w:val="none" w:sz="0" w:space="0" w:color="auto"/>
          <w:bottom w:val="none" w:sz="0" w:space="0" w:color="auto"/>
          <w:right w:val="none" w:sz="0" w:space="0" w:color="auto"/>
          <w:bar w:val="none" w:sz="0" w:color="auto"/>
        </w:pBdr>
        <w:jc w:val="center"/>
        <w:rPr>
          <w:rFonts w:cs="Times New Roman"/>
          <w:lang w:eastAsia="en-US"/>
        </w:rPr>
      </w:pPr>
      <w:r>
        <w:rPr>
          <w:rFonts w:cs="Times New Roman"/>
          <w:lang w:eastAsia="en-US"/>
        </w:rPr>
        <w:t>“</w:t>
      </w:r>
      <w:r w:rsidRPr="00EA79D1">
        <w:rPr>
          <w:rFonts w:cs="Times New Roman"/>
          <w:lang w:eastAsia="en-US"/>
        </w:rPr>
        <w:t>Articolo 18-</w:t>
      </w:r>
      <w:r w:rsidRPr="00D03E5D">
        <w:rPr>
          <w:rFonts w:cs="Times New Roman"/>
          <w:i/>
          <w:lang w:eastAsia="en-US"/>
        </w:rPr>
        <w:t>quater</w:t>
      </w:r>
      <w:r w:rsidRPr="00EA79D1">
        <w:rPr>
          <w:rFonts w:cs="Times New Roman"/>
          <w:lang w:eastAsia="en-US"/>
        </w:rPr>
        <w:t xml:space="preserve"> (Credito </w:t>
      </w:r>
      <w:r w:rsidRPr="00EA79D1">
        <w:rPr>
          <w:rFonts w:eastAsia="Times New Roman" w:cs="Arial"/>
        </w:rPr>
        <w:t>d’imposta</w:t>
      </w:r>
      <w:r w:rsidRPr="00EA79D1">
        <w:rPr>
          <w:rFonts w:cs="Times New Roman"/>
          <w:lang w:eastAsia="en-US"/>
        </w:rPr>
        <w:t xml:space="preserve"> investimenti Sisma Centro Italia)</w:t>
      </w:r>
    </w:p>
    <w:p w:rsidR="00B05EC4" w:rsidRPr="00EA79D1" w:rsidRDefault="00B05EC4" w:rsidP="00B05EC4">
      <w:pPr>
        <w:spacing w:before="120" w:after="0" w:line="240" w:lineRule="auto"/>
        <w:jc w:val="both"/>
      </w:pPr>
      <w:r w:rsidRPr="00EA79D1">
        <w:t>1. Alle piccole e medie imprese, come definite dall’allegato I del Regolamento (UE) n. 651/2014 della Commissione, del 17 giugno 2014, che effettuano investimenti in beni strumentali nuovi destinati a strutture produttive già esistenti o che vengano impiantate nei territori dei Comuni delle regioni del Lazio, dell’Umbria, delle Marche e dell’Abruzzo, di cui agli allegati 1, 2 e 3 del decreto-legge 17 ottobre 2016, n. 189, convertito, con modificazioni, con la legge 15 dicembre 2016, n. 229, fino al 31 dicembre 2019</w:t>
      </w:r>
      <w:r>
        <w:t>,</w:t>
      </w:r>
      <w:r w:rsidRPr="00EA79D1">
        <w:t xml:space="preserve"> è attribuito un credito d'imposta nella misura del 20 per cento per le piccole imprese e del 10 per cento per le medie imprese, ai sensi e per gli effetti di cui all’articolo 17 del regolamento (UE) n. 651/2014 della Commissione del 17 giugno 2014 che dichiara alcune categorie di aiuti compatibili con il mercato interno in applicazione degli articoli 107 e 108 del Trattato sul funzionamento dell’Unione Europea.</w:t>
      </w:r>
    </w:p>
    <w:p w:rsidR="00B05EC4" w:rsidRPr="00EA79D1" w:rsidRDefault="00B05EC4" w:rsidP="00B05EC4">
      <w:pPr>
        <w:spacing w:before="120" w:after="0" w:line="240" w:lineRule="auto"/>
        <w:jc w:val="both"/>
      </w:pPr>
      <w:r w:rsidRPr="00EA79D1">
        <w:t xml:space="preserve">2. In relazione agli interventi di cui al comma 1 si applicano, in quanto compatibili, le disposizioni di cui all'articolo 1, comma 98 e seguenti, della legge 28 dicembre 2015 n. 208. </w:t>
      </w:r>
    </w:p>
    <w:p w:rsidR="0062345E" w:rsidRDefault="00B05EC4" w:rsidP="00B05EC4">
      <w:pPr>
        <w:spacing w:before="120" w:after="0" w:line="240" w:lineRule="auto"/>
        <w:jc w:val="both"/>
      </w:pPr>
      <w:r w:rsidRPr="00EA79D1">
        <w:t>3. I soggetti che intendono avvalersi del credito d'imposta devono presentare apposita comunicazione all'Agenzia delle entrate. Le modalità, i termini di presentazione e il contenuto della comunicazione sono stabiliti con provvedimento del direttore dell'Agenzia medesima, da emanare entro trenta giorni dalla data di pubblicazione della presente legge nella Gazzetta Ufficiale. L'Agenzia delle entrate comunica alle imprese l'autorizzazione alla fruizione del credito d'imposta.</w:t>
      </w:r>
    </w:p>
    <w:p w:rsidR="00B05EC4" w:rsidRPr="00EA79D1" w:rsidRDefault="0062345E" w:rsidP="00B05EC4">
      <w:pPr>
        <w:spacing w:before="120" w:after="0" w:line="240" w:lineRule="auto"/>
        <w:jc w:val="both"/>
      </w:pPr>
      <w:r>
        <w:t xml:space="preserve">4. </w:t>
      </w:r>
      <w:r w:rsidRPr="0062345E">
        <w:t>Agli oneri derivanti dal presente articolo, valutati in 20 milioni di euro per l'anno 2017 e in 23,9 milioni di euro per l'anno 2018, si provvede mediante corrispondente riduzione della dotazione del Fondo per interventi strutturali di politica economica di cui all'articolo 10, comma 5, del decreto-legge 29 novembre 2004, n. 282, convertito, con modificazioni, dalla legge 27 dicembre 2004, n. 307.</w:t>
      </w:r>
      <w:r w:rsidR="00B05EC4" w:rsidRPr="00EA79D1">
        <w:t>”».</w:t>
      </w:r>
    </w:p>
    <w:p w:rsidR="001178A3" w:rsidRDefault="001178A3" w:rsidP="00B05EC4">
      <w:pPr>
        <w:spacing w:before="120" w:after="0" w:line="240" w:lineRule="auto"/>
        <w:jc w:val="center"/>
        <w:rPr>
          <w:rFonts w:cs="Arial"/>
          <w:b/>
          <w:iCs/>
          <w:lang w:eastAsia="it-IT"/>
        </w:rPr>
      </w:pPr>
    </w:p>
    <w:p w:rsidR="00B05EC4" w:rsidRPr="00D03E5D" w:rsidRDefault="00B05EC4" w:rsidP="00B05EC4">
      <w:pPr>
        <w:spacing w:before="120" w:after="0" w:line="240" w:lineRule="auto"/>
        <w:jc w:val="center"/>
        <w:rPr>
          <w:rFonts w:cs="Arial"/>
          <w:b/>
          <w:iCs/>
          <w:lang w:eastAsia="it-IT"/>
        </w:rPr>
      </w:pPr>
      <w:r w:rsidRPr="00D03E5D">
        <w:rPr>
          <w:rFonts w:cs="Arial"/>
          <w:b/>
          <w:iCs/>
          <w:lang w:eastAsia="it-IT"/>
        </w:rPr>
        <w:t>Relazione illustrativa</w:t>
      </w:r>
    </w:p>
    <w:p w:rsidR="00B05EC4" w:rsidRPr="00EA79D1" w:rsidRDefault="00B05EC4" w:rsidP="00B05EC4">
      <w:pPr>
        <w:spacing w:before="120" w:after="0" w:line="240" w:lineRule="auto"/>
        <w:jc w:val="both"/>
        <w:rPr>
          <w:rFonts w:cs="Arial"/>
          <w:iCs/>
          <w:lang w:eastAsia="it-IT"/>
        </w:rPr>
      </w:pPr>
      <w:r>
        <w:rPr>
          <w:rFonts w:cs="Arial"/>
          <w:iCs/>
          <w:lang w:eastAsia="it-IT"/>
        </w:rPr>
        <w:t xml:space="preserve">L’emendamento </w:t>
      </w:r>
      <w:r w:rsidRPr="00EA79D1">
        <w:rPr>
          <w:rFonts w:cs="Arial"/>
          <w:iCs/>
          <w:lang w:eastAsia="it-IT"/>
        </w:rPr>
        <w:t>riformula</w:t>
      </w:r>
      <w:r>
        <w:rPr>
          <w:rFonts w:cs="Arial"/>
          <w:iCs/>
          <w:lang w:eastAsia="it-IT"/>
        </w:rPr>
        <w:t xml:space="preserve"> la disciplina del</w:t>
      </w:r>
      <w:r w:rsidRPr="00EA79D1">
        <w:rPr>
          <w:rFonts w:cs="Arial"/>
          <w:iCs/>
          <w:lang w:eastAsia="it-IT"/>
        </w:rPr>
        <w:t xml:space="preserve"> credito d’imposta per gli investimenti effettuati dalle piccole e medie imprese insediate, o che intendono insediarsi, nei territori colp</w:t>
      </w:r>
      <w:r w:rsidR="001178A3">
        <w:rPr>
          <w:rFonts w:cs="Arial"/>
          <w:iCs/>
          <w:lang w:eastAsia="it-IT"/>
        </w:rPr>
        <w:t xml:space="preserve">iti dal Sisma del Centro Italia, </w:t>
      </w:r>
      <w:r>
        <w:rPr>
          <w:rFonts w:cs="Arial"/>
          <w:iCs/>
          <w:lang w:eastAsia="it-IT"/>
        </w:rPr>
        <w:t>al fine di renderla</w:t>
      </w:r>
      <w:r w:rsidRPr="00EA79D1">
        <w:rPr>
          <w:rFonts w:cs="Arial"/>
          <w:iCs/>
          <w:lang w:eastAsia="it-IT"/>
        </w:rPr>
        <w:t xml:space="preserve"> conforme alla </w:t>
      </w:r>
      <w:r>
        <w:rPr>
          <w:rFonts w:cs="Arial"/>
          <w:iCs/>
          <w:lang w:eastAsia="it-IT"/>
        </w:rPr>
        <w:t xml:space="preserve">normativa europea </w:t>
      </w:r>
      <w:r w:rsidRPr="00EA79D1">
        <w:rPr>
          <w:rFonts w:cs="Arial"/>
          <w:iCs/>
          <w:lang w:eastAsia="it-IT"/>
        </w:rPr>
        <w:t xml:space="preserve">sugli aiuti agli investimenti a favore delle PMI, di cui all’articolo 17 del regolamento (UE) n. 651/2014 della Commissione del 17 giugno 2014. </w:t>
      </w:r>
    </w:p>
    <w:p w:rsidR="00B05EC4" w:rsidRPr="00EA79D1" w:rsidRDefault="00B05EC4" w:rsidP="00B05EC4">
      <w:pPr>
        <w:spacing w:before="120" w:after="0" w:line="240" w:lineRule="auto"/>
        <w:jc w:val="both"/>
        <w:rPr>
          <w:rFonts w:cs="Arial"/>
          <w:iCs/>
          <w:lang w:eastAsia="it-IT"/>
        </w:rPr>
      </w:pPr>
      <w:r>
        <w:rPr>
          <w:rFonts w:cs="Arial"/>
          <w:iCs/>
          <w:lang w:eastAsia="it-IT"/>
        </w:rPr>
        <w:t>Infatti, l</w:t>
      </w:r>
      <w:r w:rsidRPr="00EA79D1">
        <w:rPr>
          <w:rFonts w:cs="Arial"/>
          <w:iCs/>
          <w:lang w:eastAsia="it-IT"/>
        </w:rPr>
        <w:t xml:space="preserve">’estensione </w:t>
      </w:r>
      <w:r w:rsidRPr="00EA79D1">
        <w:rPr>
          <w:rFonts w:cs="Arial"/>
          <w:i/>
          <w:iCs/>
          <w:lang w:eastAsia="it-IT"/>
        </w:rPr>
        <w:t>tout court</w:t>
      </w:r>
      <w:r w:rsidRPr="00EA79D1">
        <w:rPr>
          <w:rFonts w:cs="Arial"/>
          <w:iCs/>
          <w:lang w:eastAsia="it-IT"/>
        </w:rPr>
        <w:t xml:space="preserve"> della disciplina del credito di imposta per gli investimenti nel Mezzogiorno, di cui all’art. 1, comma 98 e ss. della Legge 28 dicembre 2015, n. 208, a tutti i Comuni compresi nel cratere sismico, sarebbe incompatibile con la normativa europea in materia di aiuti, poiché la stessa risulta applicabile solo nelle zone ammissibili alle deroghe previste dall’articolo 107, par. 3, lettere a) e c) del Trattato sul funzionamento dell’UE.</w:t>
      </w:r>
    </w:p>
    <w:p w:rsidR="00B05EC4" w:rsidRPr="00EA79D1" w:rsidRDefault="00B05EC4" w:rsidP="00B05EC4">
      <w:pPr>
        <w:spacing w:before="120" w:after="0" w:line="240" w:lineRule="auto"/>
        <w:rPr>
          <w:rFonts w:cs="Arial"/>
          <w:iCs/>
          <w:lang w:eastAsia="it-IT"/>
        </w:rPr>
      </w:pPr>
      <w:r w:rsidRPr="00EA79D1">
        <w:rPr>
          <w:rFonts w:cs="Arial"/>
          <w:iCs/>
          <w:lang w:eastAsia="it-IT"/>
        </w:rPr>
        <w:t>Al fine di scongiurare il rischio che la Commissione Europea neghi la necessaria autorizzazione della misura agevolativa, l’emendamento propone di:</w:t>
      </w:r>
    </w:p>
    <w:p w:rsidR="00B05EC4" w:rsidRPr="00EA79D1" w:rsidRDefault="00B05EC4" w:rsidP="00B05EC4">
      <w:pPr>
        <w:pStyle w:val="Paragrafoelenco"/>
        <w:numPr>
          <w:ilvl w:val="0"/>
          <w:numId w:val="4"/>
        </w:numPr>
        <w:spacing w:before="120" w:after="0" w:line="240" w:lineRule="auto"/>
        <w:contextualSpacing w:val="0"/>
        <w:jc w:val="both"/>
        <w:rPr>
          <w:rFonts w:cs="Arial"/>
          <w:iCs/>
          <w:lang w:eastAsia="it-IT"/>
        </w:rPr>
      </w:pPr>
      <w:r w:rsidRPr="00EA79D1">
        <w:rPr>
          <w:rFonts w:cs="Arial"/>
          <w:iCs/>
          <w:lang w:eastAsia="it-IT"/>
        </w:rPr>
        <w:t>utilizzare come base giuridica la norma che disciplina gli aiuti agli investimenti a favore delle PMI (art. 17, Reg. UE n. 651/2014), che non ha vincoli territoriali;</w:t>
      </w:r>
    </w:p>
    <w:p w:rsidR="00B05EC4" w:rsidRPr="00EA79D1" w:rsidRDefault="00B05EC4" w:rsidP="00B05EC4">
      <w:pPr>
        <w:pStyle w:val="Paragrafoelenco"/>
        <w:numPr>
          <w:ilvl w:val="0"/>
          <w:numId w:val="4"/>
        </w:numPr>
        <w:spacing w:before="120" w:after="0" w:line="240" w:lineRule="auto"/>
        <w:contextualSpacing w:val="0"/>
        <w:jc w:val="both"/>
        <w:rPr>
          <w:rFonts w:cs="Arial"/>
          <w:iCs/>
          <w:lang w:eastAsia="it-IT"/>
        </w:rPr>
      </w:pPr>
      <w:r w:rsidRPr="00EA79D1">
        <w:rPr>
          <w:rFonts w:cs="Arial"/>
          <w:iCs/>
          <w:lang w:eastAsia="it-IT"/>
        </w:rPr>
        <w:t>fissare le intensità massime di aiuto erogabili (10% per le medie imprese e 20% per le piccole imprese) in linea con la disciplina europea in materia di aiuti;</w:t>
      </w:r>
    </w:p>
    <w:p w:rsidR="00B05EC4" w:rsidRPr="00EA79D1" w:rsidRDefault="00B05EC4" w:rsidP="00B05EC4">
      <w:pPr>
        <w:pStyle w:val="Paragrafoelenco"/>
        <w:numPr>
          <w:ilvl w:val="0"/>
          <w:numId w:val="4"/>
        </w:numPr>
        <w:spacing w:before="120" w:after="0" w:line="240" w:lineRule="auto"/>
        <w:contextualSpacing w:val="0"/>
        <w:jc w:val="both"/>
        <w:rPr>
          <w:rFonts w:cs="Arial"/>
          <w:iCs/>
          <w:lang w:eastAsia="it-IT"/>
        </w:rPr>
      </w:pPr>
      <w:r w:rsidRPr="00EA79D1">
        <w:rPr>
          <w:rFonts w:cs="Arial"/>
          <w:iCs/>
          <w:lang w:eastAsia="it-IT"/>
        </w:rPr>
        <w:t>rinviare, per quanto concerne i meccanismi di funzionamento del regime di incentivazione, a quanto stabilito in materia di credito d’imposta per gli investimenti al Sud (art. 1, commi 98 e ss., legge 208/2015).</w:t>
      </w:r>
    </w:p>
    <w:p w:rsidR="00B05EC4" w:rsidRPr="00416588" w:rsidRDefault="00B05EC4" w:rsidP="00B05EC4">
      <w:pPr>
        <w:autoSpaceDE w:val="0"/>
        <w:autoSpaceDN w:val="0"/>
        <w:adjustRightInd w:val="0"/>
        <w:spacing w:before="120" w:after="0" w:line="240" w:lineRule="auto"/>
        <w:jc w:val="center"/>
        <w:rPr>
          <w:rFonts w:cs="Calibri"/>
          <w:b/>
          <w:color w:val="000000"/>
          <w:u w:color="000000"/>
        </w:rPr>
      </w:pPr>
      <w:r w:rsidRPr="00416588">
        <w:rPr>
          <w:rFonts w:cs="Calibri"/>
          <w:b/>
          <w:color w:val="000000"/>
          <w:u w:color="000000"/>
        </w:rPr>
        <w:t>Copertura finanziaria</w:t>
      </w:r>
    </w:p>
    <w:p w:rsidR="00B05EC4" w:rsidRDefault="00B05EC4" w:rsidP="00B05EC4">
      <w:pPr>
        <w:spacing w:before="120" w:after="0" w:line="240" w:lineRule="auto"/>
        <w:jc w:val="both"/>
      </w:pPr>
      <w:r w:rsidRPr="00EA79D1">
        <w:rPr>
          <w:rFonts w:cs="Arial"/>
          <w:iCs/>
          <w:lang w:eastAsia="it-IT"/>
        </w:rPr>
        <w:t xml:space="preserve">Alla proposta emendativa non si ascrivono effetti finanziari negativi, in quanto </w:t>
      </w:r>
      <w:r w:rsidRPr="00EA79D1">
        <w:t xml:space="preserve">la copertura della riformulazione dell’agevolazione </w:t>
      </w:r>
      <w:r w:rsidR="00225D6A">
        <w:t>è</w:t>
      </w:r>
      <w:r w:rsidRPr="00EA79D1">
        <w:t xml:space="preserve"> già contemplata dalla stima originaria.</w:t>
      </w:r>
    </w:p>
    <w:p w:rsidR="00B05EC4" w:rsidRDefault="00B05EC4"/>
    <w:sectPr w:rsidR="00B05EC4" w:rsidSect="003E6733">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B04C5E"/>
    <w:multiLevelType w:val="hybridMultilevel"/>
    <w:tmpl w:val="E45AEFAE"/>
    <w:lvl w:ilvl="0" w:tplc="8D0C98B6">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
    <w:nsid w:val="03A04FD4"/>
    <w:multiLevelType w:val="hybridMultilevel"/>
    <w:tmpl w:val="9562593E"/>
    <w:lvl w:ilvl="0" w:tplc="8D0C98B6">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
    <w:nsid w:val="084875B9"/>
    <w:multiLevelType w:val="hybridMultilevel"/>
    <w:tmpl w:val="005C3B9E"/>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
    <w:nsid w:val="3044630F"/>
    <w:multiLevelType w:val="hybridMultilevel"/>
    <w:tmpl w:val="285EFC5A"/>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
    <w:nsid w:val="307E18B5"/>
    <w:multiLevelType w:val="hybridMultilevel"/>
    <w:tmpl w:val="0FD6C118"/>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5">
    <w:nsid w:val="37AE44D9"/>
    <w:multiLevelType w:val="hybridMultilevel"/>
    <w:tmpl w:val="F4EA7326"/>
    <w:lvl w:ilvl="0" w:tplc="04100017">
      <w:start w:val="1"/>
      <w:numFmt w:val="lowerLetter"/>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6">
    <w:nsid w:val="4CBA3E91"/>
    <w:multiLevelType w:val="hybridMultilevel"/>
    <w:tmpl w:val="5B761688"/>
    <w:lvl w:ilvl="0" w:tplc="04100017">
      <w:start w:val="1"/>
      <w:numFmt w:val="lowerLetter"/>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num w:numId="1">
    <w:abstractNumId w:val="6"/>
  </w:num>
  <w:num w:numId="2">
    <w:abstractNumId w:val="5"/>
  </w:num>
  <w:num w:numId="3">
    <w:abstractNumId w:val="4"/>
  </w:num>
  <w:num w:numId="4">
    <w:abstractNumId w:val="3"/>
  </w:num>
  <w:num w:numId="5">
    <w:abstractNumId w:val="2"/>
  </w:num>
  <w:num w:numId="6">
    <w:abstractNumId w:val="0"/>
  </w:num>
  <w:num w:numId="7">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defaultTabStop w:val="708"/>
  <w:hyphenationZone w:val="283"/>
  <w:characterSpacingControl w:val="doNotCompress"/>
  <w:compat/>
  <w:rsids>
    <w:rsidRoot w:val="00E16419"/>
    <w:rsid w:val="00011419"/>
    <w:rsid w:val="00050E37"/>
    <w:rsid w:val="000702DB"/>
    <w:rsid w:val="00076F03"/>
    <w:rsid w:val="000C478B"/>
    <w:rsid w:val="000D54CC"/>
    <w:rsid w:val="0011332B"/>
    <w:rsid w:val="001178A3"/>
    <w:rsid w:val="00131635"/>
    <w:rsid w:val="00186EF2"/>
    <w:rsid w:val="001D0EC1"/>
    <w:rsid w:val="001D3369"/>
    <w:rsid w:val="001D4246"/>
    <w:rsid w:val="001E7961"/>
    <w:rsid w:val="00207F46"/>
    <w:rsid w:val="002256EB"/>
    <w:rsid w:val="00225D6A"/>
    <w:rsid w:val="00234CB9"/>
    <w:rsid w:val="00242F65"/>
    <w:rsid w:val="00282277"/>
    <w:rsid w:val="00297486"/>
    <w:rsid w:val="002C2A5C"/>
    <w:rsid w:val="002F13E3"/>
    <w:rsid w:val="00311F56"/>
    <w:rsid w:val="003258CB"/>
    <w:rsid w:val="0039152C"/>
    <w:rsid w:val="003A4F56"/>
    <w:rsid w:val="003C0209"/>
    <w:rsid w:val="003D3F5F"/>
    <w:rsid w:val="003E6733"/>
    <w:rsid w:val="003F4087"/>
    <w:rsid w:val="004159FC"/>
    <w:rsid w:val="004616C6"/>
    <w:rsid w:val="00485DA5"/>
    <w:rsid w:val="004B1241"/>
    <w:rsid w:val="004B1FC5"/>
    <w:rsid w:val="00556A7E"/>
    <w:rsid w:val="00570AFD"/>
    <w:rsid w:val="00573E09"/>
    <w:rsid w:val="0059736E"/>
    <w:rsid w:val="005A1945"/>
    <w:rsid w:val="005A4159"/>
    <w:rsid w:val="005C42DB"/>
    <w:rsid w:val="005D3062"/>
    <w:rsid w:val="005E2A29"/>
    <w:rsid w:val="0062345E"/>
    <w:rsid w:val="00676834"/>
    <w:rsid w:val="006A22CF"/>
    <w:rsid w:val="0074727F"/>
    <w:rsid w:val="00766147"/>
    <w:rsid w:val="007A00CD"/>
    <w:rsid w:val="007E459F"/>
    <w:rsid w:val="00805C5F"/>
    <w:rsid w:val="00823078"/>
    <w:rsid w:val="00846F91"/>
    <w:rsid w:val="00857652"/>
    <w:rsid w:val="0088214D"/>
    <w:rsid w:val="008A1D89"/>
    <w:rsid w:val="008A65EE"/>
    <w:rsid w:val="008B149C"/>
    <w:rsid w:val="008B3EA7"/>
    <w:rsid w:val="008C0E6A"/>
    <w:rsid w:val="008E1243"/>
    <w:rsid w:val="0090011E"/>
    <w:rsid w:val="00980521"/>
    <w:rsid w:val="009A2073"/>
    <w:rsid w:val="009C50E9"/>
    <w:rsid w:val="009D68C6"/>
    <w:rsid w:val="00A104BA"/>
    <w:rsid w:val="00A31805"/>
    <w:rsid w:val="00A36227"/>
    <w:rsid w:val="00A522D8"/>
    <w:rsid w:val="00A9427F"/>
    <w:rsid w:val="00B05EC4"/>
    <w:rsid w:val="00B10C85"/>
    <w:rsid w:val="00B45433"/>
    <w:rsid w:val="00B73627"/>
    <w:rsid w:val="00BB06E2"/>
    <w:rsid w:val="00BE2474"/>
    <w:rsid w:val="00C00EB2"/>
    <w:rsid w:val="00C24F9B"/>
    <w:rsid w:val="00C43108"/>
    <w:rsid w:val="00CB47C8"/>
    <w:rsid w:val="00CD29A3"/>
    <w:rsid w:val="00CE2E4E"/>
    <w:rsid w:val="00CF31C4"/>
    <w:rsid w:val="00D17992"/>
    <w:rsid w:val="00D319D9"/>
    <w:rsid w:val="00E16419"/>
    <w:rsid w:val="00E169B7"/>
    <w:rsid w:val="00E65C46"/>
    <w:rsid w:val="00E801A8"/>
    <w:rsid w:val="00E954DF"/>
    <w:rsid w:val="00EC760E"/>
    <w:rsid w:val="00ED2211"/>
    <w:rsid w:val="00ED48EC"/>
    <w:rsid w:val="00ED7EAB"/>
    <w:rsid w:val="00F00DF1"/>
    <w:rsid w:val="00F07A07"/>
    <w:rsid w:val="00F109FD"/>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3E6733"/>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E16419"/>
    <w:rPr>
      <w:color w:val="0000FF" w:themeColor="hyperlink"/>
      <w:u w:val="single"/>
    </w:rPr>
  </w:style>
  <w:style w:type="paragraph" w:styleId="Paragrafoelenco">
    <w:name w:val="List Paragraph"/>
    <w:basedOn w:val="Normale"/>
    <w:link w:val="ParagrafoelencoCarattere"/>
    <w:uiPriority w:val="34"/>
    <w:qFormat/>
    <w:rsid w:val="001D3369"/>
    <w:pPr>
      <w:ind w:left="720"/>
      <w:contextualSpacing/>
    </w:pPr>
    <w:rPr>
      <w:rFonts w:ascii="Calibri" w:eastAsia="Calibri" w:hAnsi="Calibri" w:cs="Times New Roman"/>
    </w:rPr>
  </w:style>
  <w:style w:type="paragraph" w:styleId="NormaleWeb">
    <w:name w:val="Normal (Web)"/>
    <w:basedOn w:val="Normale"/>
    <w:uiPriority w:val="99"/>
    <w:rsid w:val="001D3369"/>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ParagrafoelencoCarattere">
    <w:name w:val="Paragrafo elenco Carattere"/>
    <w:basedOn w:val="Carpredefinitoparagrafo"/>
    <w:link w:val="Paragrafoelenco"/>
    <w:uiPriority w:val="99"/>
    <w:locked/>
    <w:rsid w:val="001D3369"/>
    <w:rPr>
      <w:rFonts w:ascii="Calibri" w:eastAsia="Calibri" w:hAnsi="Calibri" w:cs="Times New Roman"/>
    </w:rPr>
  </w:style>
  <w:style w:type="paragraph" w:customStyle="1" w:styleId="Normale1">
    <w:name w:val="Normale1"/>
    <w:rsid w:val="001D3369"/>
    <w:pPr>
      <w:pBdr>
        <w:top w:val="none" w:sz="96" w:space="31" w:color="FFFFFF" w:frame="1"/>
        <w:left w:val="none" w:sz="96" w:space="31" w:color="FFFFFF" w:frame="1"/>
        <w:bottom w:val="none" w:sz="96" w:space="31" w:color="FFFFFF" w:frame="1"/>
        <w:right w:val="none" w:sz="96" w:space="31" w:color="FFFFFF" w:frame="1"/>
        <w:bar w:val="none" w:sz="0" w:color="000000"/>
      </w:pBdr>
      <w:spacing w:before="120" w:after="0" w:line="240" w:lineRule="auto"/>
      <w:jc w:val="both"/>
    </w:pPr>
    <w:rPr>
      <w:rFonts w:ascii="Calibri" w:eastAsia="Calibri" w:hAnsi="Calibri" w:cs="Calibri"/>
      <w:color w:val="000000"/>
      <w:u w:color="000000"/>
      <w:lang w:eastAsia="it-IT"/>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3E6733"/>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atterepredefinitoparagrafo"/>
    <w:uiPriority w:val="99"/>
    <w:unhideWhenUsed/>
    <w:rsid w:val="00E16419"/>
    <w:rPr>
      <w:color w:val="0000FF" w:themeColor="hyperlink"/>
      <w:u w:val="single"/>
    </w:rPr>
  </w:style>
  <w:style w:type="paragraph" w:styleId="Paragrafoelenco">
    <w:name w:val="List Paragraph"/>
    <w:basedOn w:val="Normale"/>
    <w:link w:val="ParagrafoelencoCarattere"/>
    <w:uiPriority w:val="34"/>
    <w:qFormat/>
    <w:rsid w:val="001D3369"/>
    <w:pPr>
      <w:ind w:left="720"/>
      <w:contextualSpacing/>
    </w:pPr>
    <w:rPr>
      <w:rFonts w:ascii="Calibri" w:eastAsia="Calibri" w:hAnsi="Calibri" w:cs="Times New Roman"/>
    </w:rPr>
  </w:style>
  <w:style w:type="paragraph" w:styleId="NormaleWeb">
    <w:name w:val="Normal (Web)"/>
    <w:basedOn w:val="Normale"/>
    <w:uiPriority w:val="99"/>
    <w:rsid w:val="001D3369"/>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ParagrafoelencoCarattere">
    <w:name w:val="Paragrafo elenco Carattere"/>
    <w:basedOn w:val="Caratterepredefinitoparagrafo"/>
    <w:link w:val="Paragrafoelenco"/>
    <w:uiPriority w:val="99"/>
    <w:locked/>
    <w:rsid w:val="001D3369"/>
    <w:rPr>
      <w:rFonts w:ascii="Calibri" w:eastAsia="Calibri" w:hAnsi="Calibri" w:cs="Times New Roman"/>
    </w:rPr>
  </w:style>
  <w:style w:type="paragraph" w:customStyle="1" w:styleId="Normale1">
    <w:name w:val="Normale1"/>
    <w:rsid w:val="001D3369"/>
    <w:pPr>
      <w:pBdr>
        <w:top w:val="none" w:sz="96" w:space="31" w:color="FFFFFF" w:frame="1"/>
        <w:left w:val="none" w:sz="96" w:space="31" w:color="FFFFFF" w:frame="1"/>
        <w:bottom w:val="none" w:sz="96" w:space="31" w:color="FFFFFF" w:frame="1"/>
        <w:right w:val="none" w:sz="96" w:space="31" w:color="FFFFFF" w:frame="1"/>
        <w:bar w:val="none" w:sz="0" w:color="000000"/>
      </w:pBdr>
      <w:spacing w:before="120" w:after="0" w:line="240" w:lineRule="auto"/>
      <w:jc w:val="both"/>
    </w:pPr>
    <w:rPr>
      <w:rFonts w:ascii="Calibri" w:eastAsia="Calibri" w:hAnsi="Calibri" w:cs="Calibri"/>
      <w:color w:val="000000"/>
      <w:u w:color="000000"/>
      <w:lang w:eastAsia="it-IT"/>
    </w:rPr>
  </w:style>
</w:styles>
</file>

<file path=word/webSettings.xml><?xml version="1.0" encoding="utf-8"?>
<w:webSettings xmlns:r="http://schemas.openxmlformats.org/officeDocument/2006/relationships" xmlns:w="http://schemas.openxmlformats.org/wordprocessingml/2006/main">
  <w:divs>
    <w:div w:id="1505390269">
      <w:bodyDiv w:val="1"/>
      <w:marLeft w:val="0"/>
      <w:marRight w:val="0"/>
      <w:marTop w:val="0"/>
      <w:marBottom w:val="0"/>
      <w:divBdr>
        <w:top w:val="none" w:sz="0" w:space="0" w:color="auto"/>
        <w:left w:val="none" w:sz="0" w:space="0" w:color="auto"/>
        <w:bottom w:val="none" w:sz="0" w:space="0" w:color="auto"/>
        <w:right w:val="none" w:sz="0" w:space="0" w:color="auto"/>
      </w:divBdr>
    </w:div>
    <w:div w:id="2042052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hyperlink" Target="http://home.ilfisco.it/perl/fol-new.pl?cmd-doc=141991%20omenkey%280%3A1%2A%2A%29%20%5B0%5D;log-ssckey=06068dcee8bf3980a0f94f03729de92b-586;log-ckey=%2411910240"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http://home.ilfisco.it/perl/fol-new.pl?cmd-doc=51195%20omenkey%280%3A1%2A%2A%29%20%5B0%5D;log-ssckey=06068dcee8bf3980a0f94f03729de92b-586;log-ckey=%2411910240" TargetMode="Externa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home.ilfisco.it/perl/fol-new.pl?cmd-doc=85499%20omenkey%280%3A1%2A%2A%29%20%5B0%5D;log-ssckey=0e10ddaabc998ed02e95b7010d4a76c2-361;log-ckey=%2412369837" TargetMode="External"/><Relationship Id="rId11" Type="http://schemas.openxmlformats.org/officeDocument/2006/relationships/hyperlink" Target="http://home.ilfisco.it/perl/fol-new.pl?cmd-doc=141991%20omenkey%280%3A1%2A%2A%29%20%5B0%5D;log-ssckey=06068dcee8bf3980a0f94f03729de92b-586;log-ckey=%2411910240" TargetMode="External"/><Relationship Id="rId5" Type="http://schemas.openxmlformats.org/officeDocument/2006/relationships/webSettings" Target="webSettings.xml"/><Relationship Id="rId10" Type="http://schemas.openxmlformats.org/officeDocument/2006/relationships/hyperlink" Target="http://home.ilfisco.it/perl/fol-new.pl?cmd-doc=51195%20omenkey%280%3A1%2A%2A%29%20%5B0%5D;log-ssckey=06068dcee8bf3980a0f94f03729de92b-586;log-ckey=%2411910240" TargetMode="External"/><Relationship Id="rId4" Type="http://schemas.openxmlformats.org/officeDocument/2006/relationships/settings" Target="settings.xml"/><Relationship Id="rId9" Type="http://schemas.openxmlformats.org/officeDocument/2006/relationships/hyperlink" Target="http://home.ilfisco.it/perl/fol-new.pl?cmd-doc=85499%20omenkey%280%3A1%2A%2A%29%20%5B0%5D;log-ssckey=0e10ddaabc998ed02e95b7010d4a76c2-361;log-ckey=%2412369837" TargetMode="External"/><Relationship Id="rId14" Type="http://schemas.microsoft.com/office/2007/relationships/stylesWithEffects" Target="stylesWithEffect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26BA455-5FA4-47F5-84AB-B35EEF93A0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4413</Words>
  <Characters>25159</Characters>
  <Application>Microsoft Office Word</Application>
  <DocSecurity>0</DocSecurity>
  <Lines>209</Lines>
  <Paragraphs>59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29513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MRavazzolo</dc:creator>
  <cp:lastModifiedBy>aquattrociocchi</cp:lastModifiedBy>
  <cp:revision>2</cp:revision>
  <cp:lastPrinted>2017-07-04T14:14:00Z</cp:lastPrinted>
  <dcterms:created xsi:type="dcterms:W3CDTF">2017-07-05T13:24:00Z</dcterms:created>
  <dcterms:modified xsi:type="dcterms:W3CDTF">2017-07-05T13:24:00Z</dcterms:modified>
</cp:coreProperties>
</file>